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1FC8D" w14:textId="1A8DEEBB" w:rsidR="00B67757" w:rsidRPr="004E65B2" w:rsidRDefault="00B67757" w:rsidP="00B67757">
      <w:pPr>
        <w:tabs>
          <w:tab w:val="right" w:pos="9639"/>
        </w:tabs>
        <w:spacing w:after="0"/>
        <w:rPr>
          <w:rFonts w:ascii="Arial" w:hAnsi="Arial" w:cs="Arial"/>
          <w:b/>
          <w:sz w:val="22"/>
          <w:szCs w:val="22"/>
        </w:rPr>
      </w:pPr>
      <w:r w:rsidRPr="004E65B2">
        <w:rPr>
          <w:rFonts w:ascii="Arial" w:hAnsi="Arial" w:cs="Arial"/>
          <w:b/>
          <w:sz w:val="22"/>
          <w:szCs w:val="22"/>
        </w:rPr>
        <w:t>3GPP TSG-SA3 Meeting #11</w:t>
      </w:r>
      <w:r>
        <w:rPr>
          <w:rFonts w:ascii="Arial" w:hAnsi="Arial" w:cs="Arial"/>
          <w:b/>
          <w:sz w:val="22"/>
          <w:szCs w:val="22"/>
        </w:rPr>
        <w:t>8</w:t>
      </w:r>
      <w:r w:rsidRPr="004E65B2">
        <w:rPr>
          <w:rFonts w:ascii="Arial" w:hAnsi="Arial" w:cs="Arial"/>
          <w:b/>
          <w:sz w:val="22"/>
          <w:szCs w:val="22"/>
        </w:rPr>
        <w:tab/>
      </w:r>
      <w:r w:rsidR="00EB454A" w:rsidRPr="00EB454A">
        <w:rPr>
          <w:rFonts w:ascii="Arial" w:hAnsi="Arial" w:cs="Arial"/>
          <w:b/>
          <w:bCs/>
          <w:sz w:val="22"/>
          <w:szCs w:val="22"/>
        </w:rPr>
        <w:t>S3-243934</w:t>
      </w:r>
    </w:p>
    <w:p w14:paraId="3532985F" w14:textId="77777777" w:rsidR="00B67757" w:rsidRPr="00872560" w:rsidRDefault="00B67757" w:rsidP="00B67757">
      <w:pPr>
        <w:pStyle w:val="Header"/>
        <w:rPr>
          <w:b w:val="0"/>
          <w:bCs/>
          <w:noProof/>
          <w:sz w:val="24"/>
        </w:rPr>
      </w:pPr>
      <w:r>
        <w:rPr>
          <w:rFonts w:cs="Arial"/>
          <w:sz w:val="22"/>
          <w:szCs w:val="22"/>
        </w:rPr>
        <w:t>Hyderabad</w:t>
      </w:r>
      <w:r w:rsidRPr="004E65B2">
        <w:rPr>
          <w:rFonts w:cs="Arial"/>
          <w:sz w:val="22"/>
          <w:szCs w:val="22"/>
        </w:rPr>
        <w:t xml:space="preserve">, </w:t>
      </w:r>
      <w:r>
        <w:rPr>
          <w:rFonts w:cs="Arial"/>
          <w:sz w:val="22"/>
          <w:szCs w:val="22"/>
        </w:rPr>
        <w:t>India</w:t>
      </w:r>
      <w:r w:rsidRPr="004E65B2">
        <w:rPr>
          <w:rFonts w:cs="Arial"/>
          <w:sz w:val="22"/>
          <w:szCs w:val="22"/>
        </w:rPr>
        <w:t xml:space="preserve">  1</w:t>
      </w:r>
      <w:r>
        <w:rPr>
          <w:rFonts w:cs="Arial"/>
          <w:sz w:val="22"/>
          <w:szCs w:val="22"/>
        </w:rPr>
        <w:t>4</w:t>
      </w:r>
      <w:r w:rsidRPr="004E65B2">
        <w:rPr>
          <w:rFonts w:cs="Arial"/>
          <w:sz w:val="22"/>
          <w:szCs w:val="22"/>
        </w:rPr>
        <w:t xml:space="preserve"> - </w:t>
      </w:r>
      <w:r>
        <w:rPr>
          <w:rFonts w:cs="Arial"/>
          <w:sz w:val="22"/>
          <w:szCs w:val="22"/>
        </w:rPr>
        <w:t>18</w:t>
      </w:r>
      <w:r w:rsidRPr="004E65B2">
        <w:rPr>
          <w:rFonts w:cs="Arial"/>
          <w:sz w:val="22"/>
          <w:szCs w:val="22"/>
        </w:rPr>
        <w:t xml:space="preserve"> </w:t>
      </w:r>
      <w:r>
        <w:rPr>
          <w:rFonts w:cs="Arial"/>
          <w:sz w:val="22"/>
          <w:szCs w:val="22"/>
        </w:rPr>
        <w:t>October</w:t>
      </w:r>
      <w:r w:rsidRPr="004E65B2">
        <w:rPr>
          <w:rFonts w:cs="Arial"/>
          <w:sz w:val="22"/>
          <w:szCs w:val="22"/>
        </w:rPr>
        <w:t xml:space="preserve"> 2024</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16F305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r w:rsidR="00E6033D">
        <w:rPr>
          <w:rFonts w:ascii="Arial" w:hAnsi="Arial"/>
          <w:b/>
          <w:lang w:val="en-US"/>
        </w:rPr>
        <w:t>, Charter</w:t>
      </w:r>
    </w:p>
    <w:bookmarkEnd w:id="0"/>
    <w:p w14:paraId="3890AEC6" w14:textId="1E4D00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CB2FDF">
        <w:rPr>
          <w:rFonts w:ascii="Arial" w:hAnsi="Arial" w:cs="Arial"/>
          <w:b/>
        </w:rPr>
        <w:t xml:space="preserve">for </w:t>
      </w:r>
      <w:r w:rsidR="00A72813">
        <w:rPr>
          <w:rFonts w:ascii="Arial" w:hAnsi="Arial" w:cs="Arial"/>
          <w:b/>
        </w:rPr>
        <w:t xml:space="preserve">Fast BSS </w:t>
      </w:r>
      <w:r w:rsidR="00902B02">
        <w:rPr>
          <w:rFonts w:ascii="Arial" w:hAnsi="Arial" w:cs="Arial"/>
          <w:b/>
        </w:rPr>
        <w:t>mobility domain and TNGF domain</w:t>
      </w:r>
    </w:p>
    <w:p w14:paraId="218DC42A" w14:textId="302E7F8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B454A">
        <w:rPr>
          <w:rFonts w:ascii="Arial" w:hAnsi="Arial"/>
          <w:b/>
          <w:lang w:eastAsia="zh-CN"/>
        </w:rPr>
        <w:t>information</w:t>
      </w:r>
    </w:p>
    <w:p w14:paraId="56AB37C1" w14:textId="51E7876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B454A">
        <w:rPr>
          <w:rFonts w:ascii="Arial" w:hAnsi="Arial"/>
          <w:b/>
        </w:rPr>
        <w:t>4.13</w:t>
      </w:r>
    </w:p>
    <w:p w14:paraId="0186BF4F" w14:textId="77777777" w:rsidR="00C022E3" w:rsidRDefault="00C022E3">
      <w:pPr>
        <w:pStyle w:val="Heading1"/>
      </w:pPr>
      <w:r>
        <w:t>1</w:t>
      </w:r>
      <w:r>
        <w:tab/>
        <w:t>Decision/action requested</w:t>
      </w:r>
    </w:p>
    <w:p w14:paraId="2965E529" w14:textId="2E179505"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764853">
        <w:rPr>
          <w:b/>
          <w:i/>
        </w:rPr>
        <w:t>discuss the discussion paper</w:t>
      </w:r>
      <w:r w:rsidR="00380857" w:rsidRPr="00380857">
        <w:rPr>
          <w:b/>
          <w:i/>
        </w:rPr>
        <w:t xml:space="preserve"> on </w:t>
      </w:r>
      <w:r w:rsidR="00A37E48">
        <w:rPr>
          <w:b/>
          <w:i/>
        </w:rPr>
        <w:t xml:space="preserve">Fast BSS solution issue </w:t>
      </w:r>
      <w:r w:rsidR="00B67757">
        <w:rPr>
          <w:b/>
          <w:i/>
        </w:rPr>
        <w:t>and way forward</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294D1176" w14:textId="772B0A55" w:rsidR="0035791B" w:rsidRPr="0035791B" w:rsidRDefault="0035791B" w:rsidP="0035791B">
      <w:pPr>
        <w:spacing w:before="100" w:beforeAutospacing="1" w:after="100" w:afterAutospacing="1"/>
        <w:rPr>
          <w:rFonts w:eastAsia="Times New Roman"/>
          <w:sz w:val="24"/>
          <w:szCs w:val="24"/>
          <w:lang w:val="en-US"/>
        </w:rPr>
      </w:pPr>
      <w:r w:rsidRPr="0035791B">
        <w:rPr>
          <w:rFonts w:eastAsia="Times New Roman"/>
          <w:sz w:val="24"/>
          <w:szCs w:val="24"/>
          <w:lang w:val="en-US"/>
        </w:rPr>
        <w:t>In the last meeting</w:t>
      </w:r>
      <w:r w:rsidR="00096493">
        <w:rPr>
          <w:rFonts w:eastAsia="Times New Roman"/>
          <w:sz w:val="24"/>
          <w:szCs w:val="24"/>
          <w:lang w:val="en-US"/>
        </w:rPr>
        <w:t xml:space="preserve"> (SA3#117)</w:t>
      </w:r>
      <w:r w:rsidRPr="0035791B">
        <w:rPr>
          <w:rFonts w:eastAsia="Times New Roman"/>
          <w:sz w:val="24"/>
          <w:szCs w:val="24"/>
          <w:lang w:val="en-US"/>
        </w:rPr>
        <w:t xml:space="preserve">, </w:t>
      </w:r>
      <w:r w:rsidR="00096493">
        <w:rPr>
          <w:rFonts w:eastAsia="Times New Roman"/>
          <w:sz w:val="24"/>
          <w:szCs w:val="24"/>
          <w:lang w:val="en-US"/>
        </w:rPr>
        <w:t xml:space="preserve">no conclusion was made for below open points </w:t>
      </w:r>
      <w:r>
        <w:rPr>
          <w:rFonts w:eastAsia="Times New Roman"/>
          <w:sz w:val="24"/>
          <w:szCs w:val="24"/>
          <w:lang w:val="en-US"/>
        </w:rPr>
        <w:t>:</w:t>
      </w:r>
    </w:p>
    <w:p w14:paraId="0CA3A8AC" w14:textId="530DD84C" w:rsidR="0035791B" w:rsidRPr="0035791B" w:rsidRDefault="0035791B" w:rsidP="006E616A">
      <w:pPr>
        <w:pStyle w:val="ListParagraph"/>
        <w:numPr>
          <w:ilvl w:val="0"/>
          <w:numId w:val="8"/>
        </w:numPr>
        <w:spacing w:before="100" w:beforeAutospacing="1" w:after="100" w:afterAutospacing="1"/>
        <w:rPr>
          <w:rFonts w:eastAsia="Times New Roman"/>
          <w:sz w:val="24"/>
          <w:szCs w:val="24"/>
          <w:lang w:val="en-US"/>
        </w:rPr>
      </w:pPr>
      <w:r w:rsidRPr="0035791B">
        <w:rPr>
          <w:rFonts w:eastAsia="Times New Roman"/>
          <w:sz w:val="24"/>
          <w:szCs w:val="24"/>
          <w:lang w:val="en-US"/>
        </w:rPr>
        <w:t>TNGF domain is different than the Fast BSS mobility domain and</w:t>
      </w:r>
    </w:p>
    <w:p w14:paraId="7D8A88ED" w14:textId="552FB765" w:rsidR="0035791B" w:rsidRPr="0035791B" w:rsidRDefault="0035791B" w:rsidP="006E616A">
      <w:pPr>
        <w:pStyle w:val="ListParagraph"/>
        <w:numPr>
          <w:ilvl w:val="0"/>
          <w:numId w:val="8"/>
        </w:numPr>
        <w:spacing w:before="100" w:beforeAutospacing="1" w:after="100" w:afterAutospacing="1"/>
        <w:rPr>
          <w:rFonts w:eastAsia="Times New Roman"/>
          <w:sz w:val="24"/>
          <w:szCs w:val="24"/>
          <w:lang w:val="en-US"/>
        </w:rPr>
      </w:pPr>
      <w:r w:rsidRPr="0035791B">
        <w:rPr>
          <w:rFonts w:eastAsia="Times New Roman"/>
          <w:sz w:val="24"/>
          <w:szCs w:val="24"/>
          <w:lang w:val="en-US"/>
        </w:rPr>
        <w:t>FT key size related issue.</w:t>
      </w:r>
    </w:p>
    <w:p w14:paraId="46B3E003" w14:textId="4108BEC4" w:rsidR="0035791B" w:rsidRPr="0035791B" w:rsidRDefault="0035791B" w:rsidP="0035791B">
      <w:pPr>
        <w:spacing w:before="100" w:beforeAutospacing="1" w:after="100" w:afterAutospacing="1"/>
        <w:rPr>
          <w:rFonts w:eastAsia="Times New Roman"/>
          <w:sz w:val="24"/>
          <w:szCs w:val="24"/>
          <w:lang w:val="en-US"/>
        </w:rPr>
      </w:pPr>
      <w:r w:rsidRPr="0035791B">
        <w:rPr>
          <w:rFonts w:eastAsia="Times New Roman"/>
          <w:sz w:val="24"/>
          <w:szCs w:val="24"/>
          <w:lang w:val="en-US"/>
        </w:rPr>
        <w:t xml:space="preserve">In this paper, we are trying to </w:t>
      </w:r>
      <w:proofErr w:type="spellStart"/>
      <w:r w:rsidRPr="0035791B">
        <w:rPr>
          <w:rFonts w:eastAsia="Times New Roman"/>
          <w:sz w:val="24"/>
          <w:szCs w:val="24"/>
          <w:lang w:val="en-US"/>
        </w:rPr>
        <w:t>analy</w:t>
      </w:r>
      <w:r>
        <w:rPr>
          <w:rFonts w:eastAsia="Times New Roman"/>
          <w:sz w:val="24"/>
          <w:szCs w:val="24"/>
          <w:lang w:val="en-US"/>
        </w:rPr>
        <w:t>s</w:t>
      </w:r>
      <w:r w:rsidRPr="0035791B">
        <w:rPr>
          <w:rFonts w:eastAsia="Times New Roman"/>
          <w:sz w:val="24"/>
          <w:szCs w:val="24"/>
          <w:lang w:val="en-US"/>
        </w:rPr>
        <w:t>e</w:t>
      </w:r>
      <w:proofErr w:type="spellEnd"/>
      <w:r w:rsidRPr="0035791B">
        <w:rPr>
          <w:rFonts w:eastAsia="Times New Roman"/>
          <w:sz w:val="24"/>
          <w:szCs w:val="24"/>
          <w:lang w:val="en-US"/>
        </w:rPr>
        <w:t xml:space="preserve"> both</w:t>
      </w:r>
      <w:r w:rsidR="00096493">
        <w:rPr>
          <w:rFonts w:eastAsia="Times New Roman"/>
          <w:sz w:val="24"/>
          <w:szCs w:val="24"/>
          <w:lang w:val="en-US"/>
        </w:rPr>
        <w:t xml:space="preserve"> issues</w:t>
      </w:r>
      <w:r w:rsidRPr="0035791B">
        <w:rPr>
          <w:rFonts w:eastAsia="Times New Roman"/>
          <w:sz w:val="24"/>
          <w:szCs w:val="24"/>
          <w:lang w:val="en-US"/>
        </w:rPr>
        <w:t>.</w:t>
      </w:r>
    </w:p>
    <w:p w14:paraId="6CDC7EED" w14:textId="77777777" w:rsidR="0002497E" w:rsidRDefault="00DE2B85" w:rsidP="00DE2B85">
      <w:pPr>
        <w:pStyle w:val="Heading1"/>
      </w:pPr>
      <w:r>
        <w:t>4</w:t>
      </w:r>
      <w:r>
        <w:tab/>
        <w:t xml:space="preserve">Detailed </w:t>
      </w:r>
      <w:proofErr w:type="gramStart"/>
      <w:r>
        <w:t>proposal</w:t>
      </w:r>
      <w:proofErr w:type="gramEnd"/>
    </w:p>
    <w:p w14:paraId="64AB33A8" w14:textId="133DA174" w:rsidR="002861EA" w:rsidRDefault="00D21C9F" w:rsidP="00D21C9F">
      <w:pPr>
        <w:pStyle w:val="Heading2"/>
        <w:rPr>
          <w:lang w:eastAsia="en-IN"/>
        </w:rPr>
      </w:pPr>
      <w:bookmarkStart w:id="1" w:name="_Toc107949223"/>
      <w:r>
        <w:rPr>
          <w:lang w:eastAsia="en-IN"/>
        </w:rPr>
        <w:t>4.</w:t>
      </w:r>
      <w:r w:rsidR="00980192">
        <w:rPr>
          <w:lang w:eastAsia="en-IN"/>
        </w:rPr>
        <w:t>1</w:t>
      </w:r>
      <w:r>
        <w:rPr>
          <w:lang w:eastAsia="en-IN"/>
        </w:rPr>
        <w:t xml:space="preserve"> </w:t>
      </w:r>
      <w:r w:rsidR="00201D66">
        <w:rPr>
          <w:lang w:eastAsia="en-IN"/>
        </w:rPr>
        <w:t xml:space="preserve">Domain </w:t>
      </w:r>
      <w:r w:rsidR="002861EA">
        <w:rPr>
          <w:lang w:eastAsia="en-IN"/>
        </w:rPr>
        <w:t>Concepts</w:t>
      </w:r>
      <w:r w:rsidR="00B67757">
        <w:rPr>
          <w:lang w:eastAsia="en-IN"/>
        </w:rPr>
        <w:t xml:space="preserve"> understanding</w:t>
      </w:r>
      <w:r w:rsidR="00352F7B">
        <w:rPr>
          <w:lang w:eastAsia="en-IN"/>
        </w:rPr>
        <w:t xml:space="preserve"> and </w:t>
      </w:r>
      <w:r w:rsidR="0035791B">
        <w:rPr>
          <w:lang w:eastAsia="en-IN"/>
        </w:rPr>
        <w:t>observation</w:t>
      </w:r>
    </w:p>
    <w:p w14:paraId="31EA07AE" w14:textId="01EB207C" w:rsidR="00FD1A93" w:rsidRPr="00A959C4" w:rsidRDefault="002861EA" w:rsidP="002861EA">
      <w:pPr>
        <w:pStyle w:val="Heading3"/>
        <w:rPr>
          <w:lang w:eastAsia="en-IN"/>
        </w:rPr>
      </w:pPr>
      <w:r>
        <w:rPr>
          <w:lang w:eastAsia="en-IN"/>
        </w:rPr>
        <w:t>4.1.1 Domain in</w:t>
      </w:r>
      <w:r w:rsidR="00201D66">
        <w:rPr>
          <w:lang w:eastAsia="en-IN"/>
        </w:rPr>
        <w:t xml:space="preserve"> Fast BSS</w:t>
      </w:r>
      <w:r w:rsidR="00B67757">
        <w:rPr>
          <w:lang w:eastAsia="en-IN"/>
        </w:rPr>
        <w:t xml:space="preserve"> </w:t>
      </w:r>
    </w:p>
    <w:p w14:paraId="6EF21D14" w14:textId="77777777" w:rsidR="00872E07" w:rsidRPr="00F6073C" w:rsidRDefault="00872E07" w:rsidP="00872E07">
      <w:pPr>
        <w:rPr>
          <w:rFonts w:ascii="Arial" w:hAnsi="Arial" w:cs="Arial"/>
          <w:lang w:val="en-IN" w:eastAsia="en-IN"/>
        </w:rPr>
      </w:pPr>
      <w:r w:rsidRPr="00F6073C">
        <w:rPr>
          <w:rFonts w:ascii="Arial" w:hAnsi="Arial" w:cs="Arial"/>
        </w:rPr>
        <w:t>Fast BSS transition works within a Mobility Domain. According to IEEE 802.11-2020 specification:</w:t>
      </w:r>
    </w:p>
    <w:p w14:paraId="4E27B6E4" w14:textId="77777777" w:rsidR="00872E07" w:rsidRPr="00096493" w:rsidRDefault="00872E07" w:rsidP="006E616A">
      <w:pPr>
        <w:pStyle w:val="ListParagraph"/>
        <w:numPr>
          <w:ilvl w:val="0"/>
          <w:numId w:val="4"/>
        </w:numPr>
        <w:spacing w:after="0"/>
        <w:rPr>
          <w:rFonts w:ascii="Arial" w:eastAsia="Times New Roman" w:hAnsi="Arial" w:cs="Arial"/>
          <w:i/>
          <w:iCs/>
        </w:rPr>
      </w:pPr>
      <w:r w:rsidRPr="00096493">
        <w:rPr>
          <w:rFonts w:ascii="Arial" w:eastAsia="Times New Roman" w:hAnsi="Arial" w:cs="Arial"/>
          <w:b/>
          <w:bCs/>
          <w:i/>
          <w:iCs/>
        </w:rPr>
        <w:t>mobility domain:</w:t>
      </w:r>
      <w:r w:rsidRPr="00096493">
        <w:rPr>
          <w:rFonts w:ascii="Arial" w:eastAsia="Times New Roman" w:hAnsi="Arial" w:cs="Arial"/>
          <w:i/>
          <w:iCs/>
        </w:rPr>
        <w:t xml:space="preserve"> A set of basic service sets (BSSs), within the same extended service set (ESS), that support fast BSS transitions between themselves and that are identified by the set’s mobility domain identifier (MDID).</w:t>
      </w:r>
    </w:p>
    <w:p w14:paraId="64A03446" w14:textId="77777777" w:rsidR="00872E07" w:rsidRPr="00096493" w:rsidRDefault="00872E07" w:rsidP="00872E07">
      <w:pPr>
        <w:rPr>
          <w:rFonts w:ascii="Arial" w:eastAsiaTheme="minorHAnsi" w:hAnsi="Arial" w:cs="Arial"/>
        </w:rPr>
      </w:pPr>
    </w:p>
    <w:p w14:paraId="71024D66" w14:textId="77777777" w:rsidR="00872E07" w:rsidRPr="00096493" w:rsidRDefault="00872E07" w:rsidP="00872E07">
      <w:pPr>
        <w:rPr>
          <w:rFonts w:ascii="Arial" w:hAnsi="Arial" w:cs="Arial"/>
        </w:rPr>
      </w:pPr>
      <w:r w:rsidRPr="00096493">
        <w:rPr>
          <w:rFonts w:ascii="Arial" w:hAnsi="Arial" w:cs="Arial"/>
        </w:rPr>
        <w:t>A Mobility Domain is an area within an ESS (extended service set).</w:t>
      </w:r>
    </w:p>
    <w:p w14:paraId="06622098" w14:textId="77777777" w:rsidR="00872E07" w:rsidRPr="00096493" w:rsidRDefault="00872E07" w:rsidP="006E616A">
      <w:pPr>
        <w:pStyle w:val="ListParagraph"/>
        <w:numPr>
          <w:ilvl w:val="0"/>
          <w:numId w:val="4"/>
        </w:numPr>
        <w:spacing w:after="0"/>
        <w:rPr>
          <w:rFonts w:ascii="Arial" w:eastAsia="Times New Roman" w:hAnsi="Arial" w:cs="Arial"/>
          <w:i/>
          <w:iCs/>
        </w:rPr>
      </w:pPr>
      <w:r w:rsidRPr="00096493">
        <w:rPr>
          <w:rFonts w:ascii="Arial" w:eastAsia="Times New Roman" w:hAnsi="Arial" w:cs="Arial"/>
          <w:b/>
          <w:bCs/>
          <w:i/>
          <w:iCs/>
        </w:rPr>
        <w:t>extended service set (ESS):</w:t>
      </w:r>
      <w:r w:rsidRPr="00096493">
        <w:rPr>
          <w:rFonts w:ascii="Arial" w:eastAsia="Times New Roman" w:hAnsi="Arial" w:cs="Arial"/>
          <w:i/>
          <w:iCs/>
        </w:rPr>
        <w:t xml:space="preserve"> A set of one or more interconnected basic service sets (BSSs) that appears as a single BSS to the logical link control (LLC) layer at any station (STA) associated with one of those BSSs.</w:t>
      </w:r>
    </w:p>
    <w:p w14:paraId="49457CAF" w14:textId="3072218F" w:rsidR="00A959C4" w:rsidRPr="00A5448F" w:rsidRDefault="00A959C4" w:rsidP="006E616A">
      <w:pPr>
        <w:pStyle w:val="ListParagraph"/>
        <w:numPr>
          <w:ilvl w:val="0"/>
          <w:numId w:val="4"/>
        </w:numPr>
        <w:spacing w:after="0"/>
        <w:rPr>
          <w:rFonts w:ascii="Arial" w:eastAsia="Times New Roman" w:hAnsi="Arial" w:cs="Arial"/>
          <w:i/>
          <w:iCs/>
        </w:rPr>
      </w:pPr>
    </w:p>
    <w:p w14:paraId="7D891D04" w14:textId="52AFCFBA" w:rsidR="00872E07" w:rsidRDefault="00086145" w:rsidP="00872E07">
      <w:pPr>
        <w:rPr>
          <w:rFonts w:ascii="Arial" w:eastAsiaTheme="minorHAnsi" w:hAnsi="Arial" w:cs="Arial"/>
        </w:rPr>
      </w:pPr>
      <w:r>
        <w:rPr>
          <w:noProof/>
        </w:rPr>
        <w:lastRenderedPageBreak/>
        <mc:AlternateContent>
          <mc:Choice Requires="wpi">
            <w:drawing>
              <wp:anchor distT="0" distB="0" distL="114300" distR="114300" simplePos="0" relativeHeight="251658240" behindDoc="0" locked="0" layoutInCell="1" allowOverlap="1" wp14:anchorId="30D465AD" wp14:editId="45F6F43C">
                <wp:simplePos x="0" y="0"/>
                <wp:positionH relativeFrom="column">
                  <wp:posOffset>-1487170</wp:posOffset>
                </wp:positionH>
                <wp:positionV relativeFrom="paragraph">
                  <wp:posOffset>1106720</wp:posOffset>
                </wp:positionV>
                <wp:extent cx="127440" cy="194040"/>
                <wp:effectExtent l="38100" t="57150" r="44450" b="53975"/>
                <wp:wrapNone/>
                <wp:docPr id="1723487176" name="Ink 4"/>
                <wp:cNvGraphicFramePr/>
                <a:graphic xmlns:a="http://schemas.openxmlformats.org/drawingml/2006/main">
                  <a:graphicData uri="http://schemas.microsoft.com/office/word/2010/wordprocessingInk">
                    <w14:contentPart bwMode="auto" r:id="rId13">
                      <w14:nvContentPartPr>
                        <w14:cNvContentPartPr/>
                      </w14:nvContentPartPr>
                      <w14:xfrm>
                        <a:off x="0" y="0"/>
                        <a:ext cx="127440" cy="194040"/>
                      </w14:xfrm>
                    </w14:contentPart>
                  </a:graphicData>
                </a:graphic>
                <wp14:sizeRelH relativeFrom="margin">
                  <wp14:pctWidth>0</wp14:pctWidth>
                </wp14:sizeRelH>
                <wp14:sizeRelV relativeFrom="margin">
                  <wp14:pctHeight>0</wp14:pctHeight>
                </wp14:sizeRelV>
              </wp:anchor>
            </w:drawing>
          </mc:Choice>
          <mc:Fallback>
            <w:pict>
              <v:shapetype w14:anchorId="23C5A48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117.8pt;margin-top:86.45pt;width:11.45pt;height:1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">
                <v:imagedata r:id="rId18" o:title=""/>
              </v:shape>
            </w:pict>
          </mc:Fallback>
        </mc:AlternateContent>
      </w:r>
      <w:r w:rsidR="00756D30">
        <w:rPr>
          <w:noProof/>
        </w:rPr>
        <w:drawing>
          <wp:inline distT="0" distB="0" distL="0" distR="0" wp14:anchorId="699D67A2" wp14:editId="72CF6AB9">
            <wp:extent cx="4328541" cy="2880305"/>
            <wp:effectExtent l="0" t="0" r="0" b="0"/>
            <wp:docPr id="1826745349"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745349" name="Picture 1" descr="A diagram of a diagram&#10;&#10;Description automatically generated"/>
                    <pic:cNvPicPr/>
                  </pic:nvPicPr>
                  <pic:blipFill>
                    <a:blip r:embed="rId19"/>
                    <a:stretch>
                      <a:fillRect/>
                    </a:stretch>
                  </pic:blipFill>
                  <pic:spPr>
                    <a:xfrm>
                      <a:off x="0" y="0"/>
                      <a:ext cx="4341175" cy="2888712"/>
                    </a:xfrm>
                    <a:prstGeom prst="rect">
                      <a:avLst/>
                    </a:prstGeom>
                  </pic:spPr>
                </pic:pic>
              </a:graphicData>
            </a:graphic>
          </wp:inline>
        </w:drawing>
      </w:r>
    </w:p>
    <w:p w14:paraId="3C6CDDB3" w14:textId="77777777" w:rsidR="00980192" w:rsidRDefault="00980192" w:rsidP="00872E07">
      <w:pPr>
        <w:rPr>
          <w:rFonts w:ascii="Arial" w:eastAsiaTheme="minorHAnsi" w:hAnsi="Arial" w:cs="Arial"/>
        </w:rPr>
      </w:pPr>
    </w:p>
    <w:p w14:paraId="24162D49" w14:textId="40AAACF2" w:rsidR="00980192" w:rsidRPr="00A959C4" w:rsidRDefault="00980192" w:rsidP="002861EA">
      <w:pPr>
        <w:pStyle w:val="Heading3"/>
        <w:rPr>
          <w:lang w:eastAsia="en-IN"/>
        </w:rPr>
      </w:pPr>
      <w:r>
        <w:rPr>
          <w:lang w:eastAsia="en-IN"/>
        </w:rPr>
        <w:t>4.</w:t>
      </w:r>
      <w:r w:rsidR="002861EA">
        <w:rPr>
          <w:lang w:eastAsia="en-IN"/>
        </w:rPr>
        <w:t>1.</w:t>
      </w:r>
      <w:r>
        <w:rPr>
          <w:lang w:eastAsia="en-IN"/>
        </w:rPr>
        <w:t>2 Domain in 3GPP TNGF</w:t>
      </w:r>
    </w:p>
    <w:p w14:paraId="6EDF4910" w14:textId="77777777" w:rsidR="0035791B" w:rsidRPr="0035791B" w:rsidRDefault="0035791B" w:rsidP="0035791B">
      <w:pPr>
        <w:rPr>
          <w:rFonts w:ascii="Arial" w:eastAsiaTheme="minorHAnsi" w:hAnsi="Arial" w:cs="Arial"/>
        </w:rPr>
      </w:pPr>
      <w:r w:rsidRPr="0035791B">
        <w:rPr>
          <w:rFonts w:ascii="Arial" w:eastAsiaTheme="minorHAnsi" w:hAnsi="Arial" w:cs="Arial"/>
        </w:rPr>
        <w:t>TNGF domain contains one or more TNAPs. TNGF and TNAP are both deployed by operators.</w:t>
      </w:r>
    </w:p>
    <w:p w14:paraId="3419FD26" w14:textId="0160A386" w:rsidR="00A147F4" w:rsidRDefault="0035791B" w:rsidP="0035791B">
      <w:pPr>
        <w:rPr>
          <w:rFonts w:ascii="Arial" w:eastAsiaTheme="minorHAnsi" w:hAnsi="Arial" w:cs="Arial"/>
        </w:rPr>
      </w:pPr>
      <w:r w:rsidRPr="0035791B">
        <w:rPr>
          <w:rFonts w:ascii="Arial" w:eastAsiaTheme="minorHAnsi" w:hAnsi="Arial" w:cs="Arial"/>
        </w:rPr>
        <w:t xml:space="preserve">There is no clear definition of the TNGF domain; it is left to the operator implementation. E.g., the operator may deploy a single TNGF for a town or </w:t>
      </w:r>
      <w:r w:rsidR="00096493">
        <w:rPr>
          <w:rFonts w:ascii="Arial" w:eastAsiaTheme="minorHAnsi" w:hAnsi="Arial" w:cs="Arial"/>
        </w:rPr>
        <w:t xml:space="preserve">for a </w:t>
      </w:r>
      <w:r w:rsidRPr="0035791B">
        <w:rPr>
          <w:rFonts w:ascii="Arial" w:eastAsiaTheme="minorHAnsi" w:hAnsi="Arial" w:cs="Arial"/>
        </w:rPr>
        <w:t xml:space="preserve">state or multiple TNGF per town or </w:t>
      </w:r>
      <w:r w:rsidR="00096493">
        <w:rPr>
          <w:rFonts w:ascii="Arial" w:eastAsiaTheme="minorHAnsi" w:hAnsi="Arial" w:cs="Arial"/>
        </w:rPr>
        <w:t xml:space="preserve">per </w:t>
      </w:r>
      <w:r w:rsidRPr="0035791B">
        <w:rPr>
          <w:rFonts w:ascii="Arial" w:eastAsiaTheme="minorHAnsi" w:hAnsi="Arial" w:cs="Arial"/>
        </w:rPr>
        <w:t>state.</w:t>
      </w:r>
    </w:p>
    <w:p w14:paraId="25607AEC" w14:textId="77777777" w:rsidR="009D5A70" w:rsidRDefault="009D5A70" w:rsidP="00BA0741">
      <w:pPr>
        <w:rPr>
          <w:rFonts w:ascii="Arial" w:hAnsi="Arial" w:cs="Arial"/>
        </w:rPr>
      </w:pPr>
    </w:p>
    <w:p w14:paraId="5E06296B" w14:textId="2827E715" w:rsidR="00B67757" w:rsidRDefault="00B67757" w:rsidP="00B67757">
      <w:pPr>
        <w:pStyle w:val="Heading2"/>
        <w:rPr>
          <w:lang w:eastAsia="en-IN"/>
        </w:rPr>
      </w:pPr>
      <w:r>
        <w:rPr>
          <w:lang w:eastAsia="en-IN"/>
        </w:rPr>
        <w:t>4.</w:t>
      </w:r>
      <w:r w:rsidR="0035791B">
        <w:rPr>
          <w:lang w:eastAsia="en-IN"/>
        </w:rPr>
        <w:t>1.3</w:t>
      </w:r>
      <w:r>
        <w:rPr>
          <w:lang w:eastAsia="en-IN"/>
        </w:rPr>
        <w:t xml:space="preserve"> Related issue discussed in the last meeting</w:t>
      </w:r>
    </w:p>
    <w:p w14:paraId="0F93960A" w14:textId="442A54D6" w:rsidR="002861EA" w:rsidRPr="00390A1D" w:rsidRDefault="002861EA" w:rsidP="00390A1D">
      <w:pPr>
        <w:pStyle w:val="Heading3"/>
        <w:rPr>
          <w:lang w:eastAsia="en-IN"/>
        </w:rPr>
      </w:pPr>
      <w:r>
        <w:rPr>
          <w:rFonts w:cs="Arial"/>
        </w:rPr>
        <w:t xml:space="preserve"> </w:t>
      </w:r>
      <w:r w:rsidR="00390A1D">
        <w:rPr>
          <w:lang w:eastAsia="en-IN"/>
        </w:rPr>
        <w:t>4.1.</w:t>
      </w:r>
      <w:r w:rsidR="0035791B">
        <w:rPr>
          <w:lang w:eastAsia="en-IN"/>
        </w:rPr>
        <w:t>3.1</w:t>
      </w:r>
      <w:r w:rsidR="00390A1D">
        <w:rPr>
          <w:lang w:eastAsia="en-IN"/>
        </w:rPr>
        <w:t xml:space="preserve"> ESS domain is within the TNGF domain.</w:t>
      </w:r>
    </w:p>
    <w:p w14:paraId="6C20C755" w14:textId="1C6569D0" w:rsidR="002861EA" w:rsidRDefault="00352F7B" w:rsidP="00BA0741">
      <w:pPr>
        <w:rPr>
          <w:rFonts w:ascii="Arial" w:hAnsi="Arial" w:cs="Arial"/>
        </w:rPr>
      </w:pPr>
      <w:r>
        <w:object w:dxaOrig="16020" w:dyaOrig="9181" w14:anchorId="54A8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35pt;height:4in" o:ole="">
            <v:imagedata r:id="rId20" o:title=""/>
          </v:shape>
          <o:OLEObject Type="Embed" ProgID="Visio.Drawing.15" ShapeID="_x0000_i1025" DrawAspect="Content" ObjectID="_1789822385" r:id="rId21"/>
        </w:object>
      </w:r>
    </w:p>
    <w:p w14:paraId="17AB4DC7" w14:textId="77777777" w:rsidR="002861EA" w:rsidRDefault="002861EA" w:rsidP="00BA0741">
      <w:pPr>
        <w:rPr>
          <w:rFonts w:ascii="Arial" w:hAnsi="Arial" w:cs="Arial"/>
        </w:rPr>
      </w:pPr>
    </w:p>
    <w:p w14:paraId="6DB239FA" w14:textId="22EEB311" w:rsidR="00A756BF" w:rsidRDefault="00A756BF" w:rsidP="00BA0741">
      <w:pPr>
        <w:rPr>
          <w:rFonts w:ascii="Arial" w:hAnsi="Arial" w:cs="Arial"/>
        </w:rPr>
      </w:pPr>
    </w:p>
    <w:p w14:paraId="24AA6B0B" w14:textId="77777777" w:rsidR="002A62AE" w:rsidRDefault="002A62AE" w:rsidP="002A62AE">
      <w:pPr>
        <w:rPr>
          <w:rFonts w:ascii="Arial" w:hAnsi="Arial" w:cs="Arial"/>
        </w:rPr>
      </w:pPr>
    </w:p>
    <w:p w14:paraId="105913E6" w14:textId="77777777" w:rsidR="00EA0E5E" w:rsidRDefault="002A62AE" w:rsidP="002A62AE">
      <w:pPr>
        <w:rPr>
          <w:rFonts w:ascii="Arial" w:hAnsi="Arial" w:cs="Arial"/>
        </w:rPr>
      </w:pPr>
      <w:r>
        <w:rPr>
          <w:rFonts w:ascii="Arial" w:hAnsi="Arial" w:cs="Arial"/>
        </w:rPr>
        <w:lastRenderedPageBreak/>
        <w:t xml:space="preserve">If UE is attached to TNAP/AP1 under ESS1, then </w:t>
      </w:r>
    </w:p>
    <w:p w14:paraId="5C294EDF" w14:textId="2A1046CC" w:rsidR="002A62AE" w:rsidRDefault="00EA0E5E" w:rsidP="006E616A">
      <w:pPr>
        <w:pStyle w:val="ListParagraph"/>
        <w:numPr>
          <w:ilvl w:val="0"/>
          <w:numId w:val="5"/>
        </w:numPr>
        <w:rPr>
          <w:rFonts w:ascii="Arial" w:hAnsi="Arial" w:cs="Arial"/>
        </w:rPr>
      </w:pPr>
      <w:r w:rsidRPr="00390A1D">
        <w:rPr>
          <w:rFonts w:ascii="Arial" w:hAnsi="Arial" w:cs="Arial"/>
        </w:rPr>
        <w:t>FT will work when UE moves from TNAP/AP1a to TNAP/AP1b</w:t>
      </w:r>
    </w:p>
    <w:p w14:paraId="076D51BF" w14:textId="26E3E058" w:rsidR="00EA0E5E" w:rsidRPr="0035791B" w:rsidRDefault="00EA0E5E" w:rsidP="006E616A">
      <w:pPr>
        <w:pStyle w:val="ListParagraph"/>
        <w:numPr>
          <w:ilvl w:val="0"/>
          <w:numId w:val="5"/>
        </w:numPr>
        <w:rPr>
          <w:rFonts w:ascii="Arial" w:hAnsi="Arial" w:cs="Arial"/>
          <w:color w:val="FF0000"/>
        </w:rPr>
      </w:pPr>
      <w:r w:rsidRPr="0035791B">
        <w:rPr>
          <w:rFonts w:ascii="Arial" w:hAnsi="Arial" w:cs="Arial"/>
          <w:color w:val="FF0000"/>
        </w:rPr>
        <w:t>FT will not work when UE moves from TNAP/AP1a to TNAP/AP2b (</w:t>
      </w:r>
      <w:r w:rsidR="00707C42" w:rsidRPr="0035791B">
        <w:rPr>
          <w:rFonts w:ascii="Arial" w:hAnsi="Arial" w:cs="Arial"/>
          <w:color w:val="FF0000"/>
        </w:rPr>
        <w:t>ESS1 to ESS2)</w:t>
      </w:r>
    </w:p>
    <w:p w14:paraId="1F122D0A" w14:textId="08BF6592" w:rsidR="00EA0E5E" w:rsidRPr="00673156" w:rsidRDefault="00EA0E5E" w:rsidP="006E616A">
      <w:pPr>
        <w:pStyle w:val="ListParagraph"/>
        <w:numPr>
          <w:ilvl w:val="0"/>
          <w:numId w:val="5"/>
        </w:numPr>
        <w:rPr>
          <w:rFonts w:ascii="Arial" w:hAnsi="Arial" w:cs="Arial"/>
        </w:rPr>
      </w:pPr>
      <w:r w:rsidRPr="00673156">
        <w:rPr>
          <w:rFonts w:ascii="Arial" w:hAnsi="Arial" w:cs="Arial"/>
        </w:rPr>
        <w:t>FT will work when UE moves from TNAP/AP1a to TNAP/AP</w:t>
      </w:r>
      <w:r w:rsidR="00707C42">
        <w:rPr>
          <w:rFonts w:ascii="Arial" w:hAnsi="Arial" w:cs="Arial"/>
        </w:rPr>
        <w:t>3 (ESS1 to outside TNAP)</w:t>
      </w:r>
    </w:p>
    <w:p w14:paraId="23814B51" w14:textId="4DDAC1C9" w:rsidR="009D5A70" w:rsidRDefault="00352F7B" w:rsidP="00BA0741">
      <w:pPr>
        <w:rPr>
          <w:rFonts w:ascii="Arial" w:hAnsi="Arial" w:cs="Arial"/>
        </w:rPr>
      </w:pPr>
      <w:r w:rsidRPr="0035791B">
        <w:rPr>
          <w:rFonts w:ascii="Arial" w:hAnsi="Arial" w:cs="Arial"/>
          <w:b/>
          <w:bCs/>
        </w:rPr>
        <w:t>Observation 1</w:t>
      </w:r>
      <w:r>
        <w:rPr>
          <w:rFonts w:ascii="Arial" w:hAnsi="Arial" w:cs="Arial"/>
        </w:rPr>
        <w:t>: FT will not work with the TNGF domain if multiple ESS domains are configured within the TNGF.</w:t>
      </w:r>
    </w:p>
    <w:p w14:paraId="7A8D13BA" w14:textId="1B968F0B" w:rsidR="00BC0C6B" w:rsidRPr="00390A1D" w:rsidRDefault="00BC0C6B" w:rsidP="00BC0C6B">
      <w:pPr>
        <w:pStyle w:val="Heading3"/>
        <w:rPr>
          <w:lang w:eastAsia="en-IN"/>
        </w:rPr>
      </w:pPr>
      <w:r>
        <w:rPr>
          <w:lang w:eastAsia="en-IN"/>
        </w:rPr>
        <w:t>4.1.</w:t>
      </w:r>
      <w:r w:rsidR="0035791B">
        <w:rPr>
          <w:lang w:eastAsia="en-IN"/>
        </w:rPr>
        <w:t>3.2</w:t>
      </w:r>
      <w:r>
        <w:rPr>
          <w:lang w:eastAsia="en-IN"/>
        </w:rPr>
        <w:t xml:space="preserve"> TNGF domain is within the ESS domain.</w:t>
      </w:r>
    </w:p>
    <w:p w14:paraId="113AD0F7" w14:textId="41D3EF24" w:rsidR="00BC0C6B" w:rsidRDefault="00947F20" w:rsidP="00BC0C6B">
      <w:pPr>
        <w:rPr>
          <w:rFonts w:ascii="Arial" w:hAnsi="Arial" w:cs="Arial"/>
        </w:rPr>
      </w:pPr>
      <w:r>
        <w:object w:dxaOrig="16022" w:dyaOrig="9181" w14:anchorId="0C38CFEB">
          <v:shape id="_x0000_i1026" type="#_x0000_t75" style="width:7in;height:4in" o:ole="">
            <v:imagedata r:id="rId22" o:title=""/>
          </v:shape>
          <o:OLEObject Type="Embed" ProgID="Visio.Drawing.15" ShapeID="_x0000_i1026" DrawAspect="Content" ObjectID="_1789822386" r:id="rId23"/>
        </w:object>
      </w:r>
    </w:p>
    <w:p w14:paraId="6427285A" w14:textId="44B0C3B7" w:rsidR="00BC0C6B" w:rsidRDefault="00BC0C6B" w:rsidP="00BC0C6B">
      <w:pPr>
        <w:rPr>
          <w:rFonts w:ascii="Arial" w:hAnsi="Arial" w:cs="Arial"/>
        </w:rPr>
      </w:pPr>
      <w:r>
        <w:rPr>
          <w:rFonts w:ascii="Arial" w:hAnsi="Arial" w:cs="Arial"/>
        </w:rPr>
        <w:t xml:space="preserve">If UE is attached to TNAP/AP1 under ESS, then </w:t>
      </w:r>
    </w:p>
    <w:p w14:paraId="4D440220" w14:textId="5974987D" w:rsidR="00BC0C6B" w:rsidRPr="00352F7B" w:rsidRDefault="00BC0C6B" w:rsidP="006E616A">
      <w:pPr>
        <w:pStyle w:val="ListParagraph"/>
        <w:numPr>
          <w:ilvl w:val="0"/>
          <w:numId w:val="6"/>
        </w:numPr>
        <w:rPr>
          <w:rFonts w:ascii="Arial" w:hAnsi="Arial" w:cs="Arial"/>
        </w:rPr>
      </w:pPr>
      <w:r w:rsidRPr="00352F7B">
        <w:rPr>
          <w:rFonts w:ascii="Arial" w:hAnsi="Arial" w:cs="Arial"/>
        </w:rPr>
        <w:t>FT will work when UE moves from TNAP/AP1a to TNAP/AP1b</w:t>
      </w:r>
    </w:p>
    <w:p w14:paraId="45126203" w14:textId="26A7B87E" w:rsidR="00BC0C6B" w:rsidRPr="00904811" w:rsidRDefault="00BC0C6B" w:rsidP="006E616A">
      <w:pPr>
        <w:pStyle w:val="ListParagraph"/>
        <w:numPr>
          <w:ilvl w:val="0"/>
          <w:numId w:val="6"/>
        </w:numPr>
        <w:rPr>
          <w:rFonts w:ascii="Arial" w:hAnsi="Arial" w:cs="Arial"/>
          <w:color w:val="C00000"/>
        </w:rPr>
      </w:pPr>
      <w:r w:rsidRPr="00904811">
        <w:rPr>
          <w:rFonts w:ascii="Arial" w:hAnsi="Arial" w:cs="Arial"/>
          <w:color w:val="C00000"/>
        </w:rPr>
        <w:t>FT will work when UE moves from TNAP/AP1a to TNAP/AP2b (</w:t>
      </w:r>
      <w:r w:rsidR="00947F20" w:rsidRPr="00904811">
        <w:rPr>
          <w:rFonts w:ascii="Arial" w:hAnsi="Arial" w:cs="Arial"/>
          <w:color w:val="C00000"/>
        </w:rPr>
        <w:t>TNGF1</w:t>
      </w:r>
      <w:r w:rsidRPr="00904811">
        <w:rPr>
          <w:rFonts w:ascii="Arial" w:hAnsi="Arial" w:cs="Arial"/>
          <w:color w:val="C00000"/>
        </w:rPr>
        <w:t xml:space="preserve"> to </w:t>
      </w:r>
      <w:r w:rsidR="00947F20" w:rsidRPr="00904811">
        <w:rPr>
          <w:rFonts w:ascii="Arial" w:hAnsi="Arial" w:cs="Arial"/>
          <w:color w:val="C00000"/>
        </w:rPr>
        <w:t>TNGF</w:t>
      </w:r>
      <w:r w:rsidRPr="00904811">
        <w:rPr>
          <w:rFonts w:ascii="Arial" w:hAnsi="Arial" w:cs="Arial"/>
          <w:color w:val="C00000"/>
        </w:rPr>
        <w:t>2)</w:t>
      </w:r>
      <w:r w:rsidR="00A82CB8">
        <w:rPr>
          <w:rFonts w:ascii="Arial" w:hAnsi="Arial" w:cs="Arial"/>
          <w:color w:val="C00000"/>
        </w:rPr>
        <w:t xml:space="preserve">. </w:t>
      </w:r>
      <w:r w:rsidR="00A147F4">
        <w:rPr>
          <w:rFonts w:ascii="Arial" w:hAnsi="Arial" w:cs="Arial"/>
          <w:color w:val="C00000"/>
        </w:rPr>
        <w:t xml:space="preserve">If ESS boundary crosses the PLMN boundary, </w:t>
      </w:r>
      <w:r w:rsidR="006E616A">
        <w:rPr>
          <w:rFonts w:ascii="Arial" w:hAnsi="Arial" w:cs="Arial"/>
          <w:color w:val="C00000"/>
        </w:rPr>
        <w:t>even then FT will work.</w:t>
      </w:r>
    </w:p>
    <w:p w14:paraId="76CFBFCD" w14:textId="7F3B11E8" w:rsidR="00352F7B" w:rsidRPr="00352F7B" w:rsidRDefault="00352F7B" w:rsidP="00352F7B">
      <w:pPr>
        <w:rPr>
          <w:rFonts w:ascii="Arial" w:hAnsi="Arial" w:cs="Arial"/>
        </w:rPr>
      </w:pPr>
      <w:r w:rsidRPr="0050157B">
        <w:rPr>
          <w:rFonts w:ascii="Arial" w:hAnsi="Arial" w:cs="Arial"/>
          <w:b/>
          <w:bCs/>
        </w:rPr>
        <w:t xml:space="preserve">Observation </w:t>
      </w:r>
      <w:r w:rsidR="0035791B">
        <w:rPr>
          <w:rFonts w:ascii="Arial" w:hAnsi="Arial" w:cs="Arial"/>
          <w:b/>
          <w:bCs/>
        </w:rPr>
        <w:t>2</w:t>
      </w:r>
      <w:r w:rsidRPr="0050157B">
        <w:rPr>
          <w:rFonts w:ascii="Arial" w:hAnsi="Arial" w:cs="Arial"/>
          <w:b/>
          <w:bCs/>
        </w:rPr>
        <w:t>:</w:t>
      </w:r>
      <w:r w:rsidRPr="00352F7B">
        <w:rPr>
          <w:rFonts w:ascii="Arial" w:hAnsi="Arial" w:cs="Arial"/>
        </w:rPr>
        <w:t xml:space="preserve"> </w:t>
      </w:r>
      <w:r w:rsidR="006E616A" w:rsidRPr="006E616A">
        <w:rPr>
          <w:rFonts w:ascii="Arial" w:hAnsi="Arial" w:cs="Arial"/>
        </w:rPr>
        <w:t>It is a problematic scenario because FT will work cross-TNGF. However, ESS and TNAP domain configurations are fully owned by telecom operators, so operators should ensure that a single TNGF domain is mapped to a single ESS domain</w:t>
      </w:r>
      <w:r w:rsidR="006E616A">
        <w:rPr>
          <w:rFonts w:ascii="Arial" w:hAnsi="Arial" w:cs="Arial"/>
        </w:rPr>
        <w:t xml:space="preserve"> to avoid this issue</w:t>
      </w:r>
      <w:r>
        <w:rPr>
          <w:rFonts w:ascii="Arial" w:hAnsi="Arial" w:cs="Arial"/>
        </w:rPr>
        <w:t xml:space="preserve">. </w:t>
      </w:r>
    </w:p>
    <w:p w14:paraId="4CC557CE" w14:textId="77777777" w:rsidR="00904811" w:rsidRDefault="00904811" w:rsidP="00F1329A">
      <w:pPr>
        <w:rPr>
          <w:lang w:eastAsia="en-IN"/>
        </w:rPr>
      </w:pPr>
    </w:p>
    <w:p w14:paraId="2AE413D7" w14:textId="21CEA65D" w:rsidR="00352F7B" w:rsidRDefault="00352F7B" w:rsidP="009279B2">
      <w:pPr>
        <w:pStyle w:val="Heading2"/>
        <w:numPr>
          <w:ilvl w:val="1"/>
          <w:numId w:val="9"/>
        </w:numPr>
        <w:rPr>
          <w:lang w:eastAsia="en-IN"/>
        </w:rPr>
      </w:pPr>
      <w:r>
        <w:rPr>
          <w:lang w:eastAsia="en-IN"/>
        </w:rPr>
        <w:t>FT key size understanding and observation.</w:t>
      </w:r>
    </w:p>
    <w:p w14:paraId="435CE2ED" w14:textId="77777777" w:rsidR="00CB6FAC" w:rsidRDefault="00CB6FAC" w:rsidP="00270332">
      <w:pPr>
        <w:rPr>
          <w:rFonts w:ascii="Arial" w:hAnsi="Arial" w:cs="Arial"/>
          <w:lang w:eastAsia="en-IN"/>
        </w:rPr>
      </w:pPr>
    </w:p>
    <w:p w14:paraId="6891AFB4" w14:textId="27B41A2C" w:rsidR="00270332" w:rsidRPr="00F6073C" w:rsidRDefault="009279B2" w:rsidP="00270332">
      <w:pPr>
        <w:rPr>
          <w:rFonts w:ascii="Arial" w:hAnsi="Arial" w:cs="Arial"/>
          <w:lang w:eastAsia="en-IN"/>
        </w:rPr>
      </w:pPr>
      <w:r w:rsidRPr="00F6073C">
        <w:rPr>
          <w:rFonts w:ascii="Arial" w:hAnsi="Arial" w:cs="Arial"/>
          <w:lang w:eastAsia="en-IN"/>
        </w:rPr>
        <w:t xml:space="preserve">In the last meeting, there was an argument that we need a new key for FT because the existing </w:t>
      </w:r>
      <w:r w:rsidR="00B35E30">
        <w:t>K</w:t>
      </w:r>
      <w:r w:rsidR="00B35E30">
        <w:rPr>
          <w:vertAlign w:val="subscript"/>
        </w:rPr>
        <w:t>TNAP</w:t>
      </w:r>
      <w:r w:rsidR="00B35E30" w:rsidRPr="00B35E30" w:rsidDel="00B35E30">
        <w:rPr>
          <w:rFonts w:ascii="Arial" w:hAnsi="Arial" w:cs="Arial"/>
          <w:lang w:eastAsia="en-IN"/>
        </w:rPr>
        <w:t xml:space="preserve"> </w:t>
      </w:r>
      <w:r w:rsidRPr="00F6073C">
        <w:rPr>
          <w:rFonts w:ascii="Arial" w:hAnsi="Arial" w:cs="Arial"/>
          <w:lang w:eastAsia="en-IN"/>
        </w:rPr>
        <w:t>is not 512 bit</w:t>
      </w:r>
      <w:r w:rsidR="00B35E30">
        <w:rPr>
          <w:rFonts w:ascii="Arial" w:hAnsi="Arial" w:cs="Arial"/>
          <w:lang w:eastAsia="en-IN"/>
        </w:rPr>
        <w:t>s</w:t>
      </w:r>
      <w:r w:rsidRPr="00F6073C">
        <w:rPr>
          <w:rFonts w:ascii="Arial" w:hAnsi="Arial" w:cs="Arial"/>
          <w:lang w:eastAsia="en-IN"/>
        </w:rPr>
        <w:t>, and for FT we need a 512</w:t>
      </w:r>
      <w:r w:rsidR="00B35E30">
        <w:rPr>
          <w:rFonts w:ascii="Arial" w:hAnsi="Arial" w:cs="Arial"/>
          <w:lang w:eastAsia="en-IN"/>
        </w:rPr>
        <w:t>-</w:t>
      </w:r>
      <w:r w:rsidRPr="00F6073C">
        <w:rPr>
          <w:rFonts w:ascii="Arial" w:hAnsi="Arial" w:cs="Arial"/>
          <w:lang w:eastAsia="en-IN"/>
        </w:rPr>
        <w:t>bit key. However, all the existing WLAN related keys are 256</w:t>
      </w:r>
      <w:r w:rsidR="00B35E30">
        <w:rPr>
          <w:rFonts w:ascii="Arial" w:hAnsi="Arial" w:cs="Arial"/>
          <w:lang w:eastAsia="en-IN"/>
        </w:rPr>
        <w:t>-bits</w:t>
      </w:r>
      <w:r w:rsidRPr="00F6073C">
        <w:rPr>
          <w:rFonts w:ascii="Arial" w:hAnsi="Arial" w:cs="Arial"/>
          <w:lang w:eastAsia="en-IN"/>
        </w:rPr>
        <w:t xml:space="preserve"> in 5GC. Please refer to the below reference</w:t>
      </w:r>
      <w:r w:rsidR="0050157B" w:rsidRPr="00F6073C">
        <w:rPr>
          <w:rFonts w:ascii="Arial" w:hAnsi="Arial" w:cs="Arial"/>
          <w:lang w:eastAsia="en-IN"/>
        </w:rPr>
        <w:t>:</w:t>
      </w:r>
    </w:p>
    <w:p w14:paraId="50B4A604" w14:textId="303B415C" w:rsidR="009279B2" w:rsidRPr="00096493" w:rsidRDefault="009279B2" w:rsidP="009279B2">
      <w:pPr>
        <w:pStyle w:val="ListParagraph"/>
        <w:numPr>
          <w:ilvl w:val="0"/>
          <w:numId w:val="7"/>
        </w:numPr>
        <w:rPr>
          <w:rFonts w:ascii="Arial" w:hAnsi="Arial" w:cs="Arial"/>
        </w:rPr>
      </w:pPr>
      <w:r w:rsidRPr="00096493">
        <w:rPr>
          <w:rFonts w:ascii="Arial" w:hAnsi="Arial" w:cs="Arial"/>
        </w:rPr>
        <w:t>TNAP uses the 256</w:t>
      </w:r>
      <w:r w:rsidR="00096493">
        <w:rPr>
          <w:rFonts w:ascii="Arial" w:hAnsi="Arial" w:cs="Arial"/>
        </w:rPr>
        <w:t xml:space="preserve">-bit key </w:t>
      </w:r>
      <w:r w:rsidR="00096493">
        <w:t>K</w:t>
      </w:r>
      <w:r w:rsidR="00096493">
        <w:rPr>
          <w:vertAlign w:val="subscript"/>
        </w:rPr>
        <w:t>TNAP</w:t>
      </w:r>
      <w:r w:rsidR="00096493" w:rsidRPr="00096493" w:rsidDel="00096493">
        <w:rPr>
          <w:rFonts w:ascii="Arial" w:hAnsi="Arial" w:cs="Arial"/>
        </w:rPr>
        <w:t xml:space="preserve"> </w:t>
      </w:r>
      <w:r w:rsidRPr="00096493">
        <w:rPr>
          <w:rFonts w:ascii="Arial" w:hAnsi="Arial" w:cs="Arial"/>
        </w:rPr>
        <w:t>for 4-way handshake (reference TS 33501, section A.22).</w:t>
      </w:r>
    </w:p>
    <w:p w14:paraId="6FA1376D" w14:textId="54658FC8" w:rsidR="00270332" w:rsidRPr="00096493" w:rsidRDefault="009279B2" w:rsidP="009279B2">
      <w:pPr>
        <w:pStyle w:val="ListParagraph"/>
        <w:numPr>
          <w:ilvl w:val="0"/>
          <w:numId w:val="7"/>
        </w:numPr>
        <w:rPr>
          <w:rFonts w:ascii="Arial" w:hAnsi="Arial" w:cs="Arial"/>
        </w:rPr>
      </w:pPr>
      <w:r w:rsidRPr="00096493">
        <w:rPr>
          <w:rFonts w:ascii="Arial" w:hAnsi="Arial" w:cs="Arial"/>
        </w:rPr>
        <w:t>256</w:t>
      </w:r>
      <w:r w:rsidR="00B35E30">
        <w:rPr>
          <w:rFonts w:ascii="Arial" w:hAnsi="Arial" w:cs="Arial"/>
        </w:rPr>
        <w:t>-bit</w:t>
      </w:r>
      <w:r w:rsidRPr="00096493">
        <w:rPr>
          <w:rFonts w:ascii="Arial" w:hAnsi="Arial" w:cs="Arial"/>
        </w:rPr>
        <w:t xml:space="preserve"> MSK is used as PMK, and WLAN AP uses it for 4-way handshake.</w:t>
      </w:r>
      <w:r w:rsidR="00F37F00" w:rsidRPr="00096493">
        <w:rPr>
          <w:rFonts w:ascii="Arial" w:hAnsi="Arial" w:cs="Arial"/>
        </w:rPr>
        <w:t xml:space="preserve"> </w:t>
      </w:r>
      <w:r w:rsidR="00270332" w:rsidRPr="00096493">
        <w:rPr>
          <w:rFonts w:ascii="Arial" w:hAnsi="Arial" w:cs="Arial"/>
        </w:rPr>
        <w:t>Ref TS 33501, annex S, step 18</w:t>
      </w:r>
    </w:p>
    <w:p w14:paraId="48C5FCC4" w14:textId="0427B937" w:rsidR="00270332" w:rsidRPr="009279B2" w:rsidRDefault="00270332" w:rsidP="006E616A">
      <w:pPr>
        <w:pStyle w:val="ListParagraph"/>
        <w:numPr>
          <w:ilvl w:val="2"/>
          <w:numId w:val="7"/>
        </w:numPr>
        <w:rPr>
          <w:rFonts w:ascii="Arial" w:hAnsi="Arial" w:cs="Arial"/>
          <w:i/>
          <w:iCs/>
          <w:color w:val="215E99" w:themeColor="text2" w:themeTint="BF"/>
        </w:rPr>
      </w:pPr>
      <w:r w:rsidRPr="009279B2">
        <w:rPr>
          <w:i/>
          <w:iCs/>
          <w:color w:val="215E99" w:themeColor="text2" w:themeTint="BF"/>
        </w:rPr>
        <w:t xml:space="preserve">Step 18 Upon receiving the EAP-Success message, the UE </w:t>
      </w:r>
      <w:r w:rsidRPr="009279B2">
        <w:rPr>
          <w:i/>
          <w:iCs/>
          <w:color w:val="215E99" w:themeColor="text2" w:themeTint="BF"/>
          <w:lang w:val="en-US"/>
        </w:rPr>
        <w:t xml:space="preserve">derives the MSK as specified in step 11, if it has not derived the MSK earlier. The </w:t>
      </w:r>
      <w:r w:rsidRPr="009279B2">
        <w:rPr>
          <w:i/>
          <w:iCs/>
          <w:color w:val="215E99" w:themeColor="text2" w:themeTint="BF"/>
          <w:highlight w:val="yellow"/>
          <w:lang w:val="en-US"/>
        </w:rPr>
        <w:t>UE uses the first 256-bit of MSK as PMK</w:t>
      </w:r>
      <w:r w:rsidRPr="009279B2">
        <w:rPr>
          <w:i/>
          <w:iCs/>
          <w:color w:val="215E99" w:themeColor="text2" w:themeTint="BF"/>
          <w:lang w:val="en-US"/>
        </w:rPr>
        <w:t xml:space="preserve"> to perform 4-way handshake to establish a secure connection with the WLAN AN.</w:t>
      </w:r>
    </w:p>
    <w:p w14:paraId="54A9DE92" w14:textId="2ED76471" w:rsidR="00270332" w:rsidRPr="00270332" w:rsidRDefault="00270332" w:rsidP="00270332">
      <w:pPr>
        <w:rPr>
          <w:rFonts w:ascii="Arial" w:hAnsi="Arial" w:cs="Arial"/>
        </w:rPr>
      </w:pPr>
    </w:p>
    <w:p w14:paraId="33F86DD4" w14:textId="5358B999" w:rsidR="00CB6FAC" w:rsidRDefault="009279B2" w:rsidP="009279B2">
      <w:pPr>
        <w:rPr>
          <w:rFonts w:ascii="Arial" w:hAnsi="Arial" w:cs="Arial"/>
        </w:rPr>
      </w:pPr>
      <w:r w:rsidRPr="009279B2">
        <w:rPr>
          <w:rFonts w:ascii="Arial" w:hAnsi="Arial" w:cs="Arial"/>
        </w:rPr>
        <w:t xml:space="preserve">Secondly, </w:t>
      </w:r>
      <w:r w:rsidR="00CB6FAC">
        <w:rPr>
          <w:rFonts w:ascii="Arial" w:hAnsi="Arial" w:cs="Arial"/>
        </w:rPr>
        <w:t xml:space="preserve">as per </w:t>
      </w:r>
      <w:r w:rsidR="00CB6FAC" w:rsidRPr="00CB6FAC">
        <w:rPr>
          <w:rFonts w:ascii="Arial" w:hAnsi="Arial" w:cs="Arial"/>
        </w:rPr>
        <w:t xml:space="preserve"> IEEE 802.11-2020 Clause 12.7.1.6.3 PMK-R0</w:t>
      </w:r>
    </w:p>
    <w:p w14:paraId="4A63B985" w14:textId="77777777" w:rsidR="00CB6FAC" w:rsidRPr="00CB6FAC" w:rsidRDefault="00CB6FAC" w:rsidP="00CB6FAC">
      <w:pPr>
        <w:rPr>
          <w:rFonts w:ascii="Arial" w:hAnsi="Arial" w:cs="Arial"/>
          <w:lang w:val="en-US"/>
        </w:rPr>
      </w:pPr>
      <w:r w:rsidRPr="00CB6FAC">
        <w:rPr>
          <w:rFonts w:ascii="Arial" w:hAnsi="Arial" w:cs="Arial"/>
        </w:rPr>
        <w:t>…</w:t>
      </w:r>
    </w:p>
    <w:p w14:paraId="6ED0F429"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When IEEE 802.1X authentication is used, then</w:t>
      </w:r>
    </w:p>
    <w:p w14:paraId="6133C8B8"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 MPMK = L(MSK, 256, 256), i.e., the second 256 bits of the MSK (which is derived from the</w:t>
      </w:r>
    </w:p>
    <w:p w14:paraId="1AA8368E"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IEEE 802.1X authentication)</w:t>
      </w:r>
    </w:p>
    <w:p w14:paraId="424194CA"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w:t>
      </w:r>
    </w:p>
    <w:p w14:paraId="68F5F3DB"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R0-Key-Data = KDF-Hash-Length(</w:t>
      </w:r>
      <w:proofErr w:type="spellStart"/>
      <w:r w:rsidRPr="00876179">
        <w:rPr>
          <w:rFonts w:ascii="Arial" w:hAnsi="Arial" w:cs="Arial"/>
          <w:i/>
          <w:iCs/>
          <w:color w:val="0070C0"/>
        </w:rPr>
        <w:t>XXKey</w:t>
      </w:r>
      <w:proofErr w:type="spellEnd"/>
      <w:r w:rsidRPr="00876179">
        <w:rPr>
          <w:rFonts w:ascii="Arial" w:hAnsi="Arial" w:cs="Arial"/>
          <w:i/>
          <w:iCs/>
          <w:color w:val="0070C0"/>
        </w:rPr>
        <w:t xml:space="preserve">, “FT-R0”, </w:t>
      </w:r>
      <w:proofErr w:type="spellStart"/>
      <w:r w:rsidRPr="00876179">
        <w:rPr>
          <w:rFonts w:ascii="Arial" w:hAnsi="Arial" w:cs="Arial"/>
          <w:i/>
          <w:iCs/>
          <w:color w:val="0070C0"/>
        </w:rPr>
        <w:t>SSIDlength</w:t>
      </w:r>
      <w:proofErr w:type="spellEnd"/>
      <w:r w:rsidRPr="00876179">
        <w:rPr>
          <w:rFonts w:ascii="Arial" w:hAnsi="Arial" w:cs="Arial"/>
          <w:i/>
          <w:iCs/>
          <w:color w:val="0070C0"/>
        </w:rPr>
        <w:t xml:space="preserve"> || SSID || MDID || R0KHlength ||</w:t>
      </w:r>
    </w:p>
    <w:p w14:paraId="3E98F6AB"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R0KH-ID || S0KH-ID)</w:t>
      </w:r>
    </w:p>
    <w:p w14:paraId="0D3BDD5C"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PMK-R0 = L(R0-Key-Data, 0, Q)</w:t>
      </w:r>
    </w:p>
    <w:p w14:paraId="4CA7C0BA" w14:textId="77777777" w:rsidR="00CB6FAC" w:rsidRPr="00876179" w:rsidRDefault="00CB6FAC" w:rsidP="00876179">
      <w:pPr>
        <w:ind w:left="568"/>
        <w:rPr>
          <w:rFonts w:ascii="Arial" w:hAnsi="Arial" w:cs="Arial"/>
          <w:i/>
          <w:iCs/>
          <w:color w:val="0070C0"/>
          <w:lang w:val="en-US"/>
        </w:rPr>
      </w:pPr>
      <w:r w:rsidRPr="00876179">
        <w:rPr>
          <w:rFonts w:ascii="Arial" w:hAnsi="Arial" w:cs="Arial"/>
          <w:i/>
          <w:iCs/>
          <w:color w:val="0070C0"/>
        </w:rPr>
        <w:t>…</w:t>
      </w:r>
    </w:p>
    <w:p w14:paraId="5A998326" w14:textId="77777777" w:rsidR="00CB6FAC" w:rsidRPr="00CB6FAC" w:rsidRDefault="00CB6FAC" w:rsidP="00876179">
      <w:pPr>
        <w:ind w:left="568"/>
        <w:rPr>
          <w:rFonts w:ascii="Arial" w:hAnsi="Arial" w:cs="Arial"/>
          <w:lang w:val="en-US"/>
        </w:rPr>
      </w:pPr>
      <w:proofErr w:type="spellStart"/>
      <w:r w:rsidRPr="00876179">
        <w:rPr>
          <w:rFonts w:ascii="Arial" w:hAnsi="Arial" w:cs="Arial"/>
          <w:i/>
          <w:iCs/>
          <w:color w:val="0070C0"/>
        </w:rPr>
        <w:t>XXKey</w:t>
      </w:r>
      <w:proofErr w:type="spellEnd"/>
      <w:r w:rsidRPr="00876179">
        <w:rPr>
          <w:rFonts w:ascii="Arial" w:hAnsi="Arial" w:cs="Arial"/>
          <w:i/>
          <w:iCs/>
          <w:color w:val="0070C0"/>
        </w:rPr>
        <w:t xml:space="preserve"> is equal to MPMK</w:t>
      </w:r>
    </w:p>
    <w:p w14:paraId="7ECD1C72" w14:textId="77777777" w:rsidR="00CB6FAC" w:rsidRDefault="00CB6FAC" w:rsidP="009279B2">
      <w:pPr>
        <w:rPr>
          <w:rFonts w:ascii="Arial" w:hAnsi="Arial" w:cs="Arial"/>
        </w:rPr>
      </w:pPr>
    </w:p>
    <w:p w14:paraId="69C85844" w14:textId="77777777" w:rsidR="00876179" w:rsidRPr="00876179" w:rsidRDefault="00876179" w:rsidP="00876179">
      <w:pPr>
        <w:rPr>
          <w:rFonts w:ascii="Arial" w:hAnsi="Arial" w:cs="Arial"/>
        </w:rPr>
      </w:pPr>
      <w:r w:rsidRPr="00876179">
        <w:rPr>
          <w:rFonts w:ascii="Arial" w:hAnsi="Arial" w:cs="Arial"/>
          <w:b/>
          <w:bCs/>
        </w:rPr>
        <w:t xml:space="preserve">Observation 3: </w:t>
      </w:r>
      <w:r w:rsidRPr="00876179">
        <w:rPr>
          <w:rFonts w:ascii="Arial" w:hAnsi="Arial" w:cs="Arial"/>
        </w:rPr>
        <w:t>FT uses the ‘upper’ 256 bits of the MSK = PMK = MPMK for generation of the PMK-R0. i.e., the PMK delivered by the EAP method through IEEE 802.1X consists of 512 bits, i.e., the ‘upper’ 256 bits used by FT are already existing in the PMK coming from the EAP-Authentication.</w:t>
      </w:r>
    </w:p>
    <w:p w14:paraId="45EF0DEE" w14:textId="77777777" w:rsidR="00876179" w:rsidRPr="00876179" w:rsidRDefault="00876179" w:rsidP="00876179">
      <w:pPr>
        <w:rPr>
          <w:rFonts w:ascii="Arial" w:hAnsi="Arial" w:cs="Arial"/>
          <w:b/>
          <w:bCs/>
        </w:rPr>
      </w:pPr>
    </w:p>
    <w:p w14:paraId="7EF64C82" w14:textId="77777777" w:rsidR="00876179" w:rsidRPr="00876179" w:rsidRDefault="00876179" w:rsidP="00876179">
      <w:pPr>
        <w:rPr>
          <w:rFonts w:ascii="Arial" w:hAnsi="Arial" w:cs="Arial"/>
          <w:b/>
          <w:bCs/>
        </w:rPr>
      </w:pPr>
      <w:r w:rsidRPr="00876179">
        <w:rPr>
          <w:rFonts w:ascii="Arial" w:hAnsi="Arial" w:cs="Arial"/>
          <w:b/>
          <w:bCs/>
        </w:rPr>
        <w:t xml:space="preserve">Observation 4: </w:t>
      </w:r>
      <w:r w:rsidRPr="00876179">
        <w:rPr>
          <w:rFonts w:ascii="Arial" w:hAnsi="Arial" w:cs="Arial"/>
        </w:rPr>
        <w:t xml:space="preserve">If companies believe 512 bits are required for FT, then how can we generate 512 bits from the 256 keys of KTNGF? From a security standpoint, it is not a good option. </w:t>
      </w:r>
      <w:r w:rsidRPr="00876179">
        <w:rPr>
          <w:rFonts w:ascii="Arial" w:hAnsi="Arial" w:cs="Arial"/>
          <w:b/>
          <w:bCs/>
        </w:rPr>
        <w:t>Secondly, as per IEEE text, even if we provide 512 bits, MPMK will use only the second 256 bit</w:t>
      </w:r>
      <w:r w:rsidRPr="00876179">
        <w:rPr>
          <w:rFonts w:ascii="Arial" w:hAnsi="Arial" w:cs="Arial"/>
        </w:rPr>
        <w:t>.</w:t>
      </w:r>
    </w:p>
    <w:p w14:paraId="49E20A64" w14:textId="77777777" w:rsidR="00876179" w:rsidRPr="00876179" w:rsidRDefault="00876179" w:rsidP="00876179">
      <w:pPr>
        <w:rPr>
          <w:rFonts w:ascii="Arial" w:hAnsi="Arial" w:cs="Arial"/>
          <w:b/>
          <w:bCs/>
        </w:rPr>
      </w:pPr>
    </w:p>
    <w:p w14:paraId="0E796A13" w14:textId="6565B229" w:rsidR="00352F7B" w:rsidRDefault="00876179" w:rsidP="00F1329A">
      <w:pPr>
        <w:rPr>
          <w:lang w:eastAsia="en-IN"/>
        </w:rPr>
      </w:pPr>
      <w:r w:rsidRPr="00876179">
        <w:rPr>
          <w:rFonts w:ascii="Arial" w:hAnsi="Arial" w:cs="Arial"/>
          <w:b/>
          <w:bCs/>
        </w:rPr>
        <w:t xml:space="preserve">Observation 5: </w:t>
      </w:r>
      <w:r w:rsidRPr="00876179">
        <w:rPr>
          <w:rFonts w:ascii="Arial" w:hAnsi="Arial" w:cs="Arial"/>
        </w:rPr>
        <w:t>KTNAP can be used for FT as well. We don’t need to define a new key for FT, and we can reuse the KTNAP for FT and non-FT use cases.</w:t>
      </w: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70A2B63F" w14:textId="77777777" w:rsidR="009279B2" w:rsidRPr="009279B2" w:rsidRDefault="009279B2" w:rsidP="009279B2">
      <w:pPr>
        <w:rPr>
          <w:rFonts w:ascii="Arial" w:hAnsi="Arial" w:cs="Arial"/>
        </w:rPr>
      </w:pPr>
      <w:r w:rsidRPr="009279B2">
        <w:rPr>
          <w:rFonts w:ascii="Arial" w:hAnsi="Arial" w:cs="Arial"/>
        </w:rPr>
        <w:t>Based on observations made in this paper, it is proposed that</w:t>
      </w:r>
    </w:p>
    <w:p w14:paraId="1F224DDE" w14:textId="099EFB34" w:rsidR="009279B2" w:rsidRPr="009279B2" w:rsidRDefault="009279B2" w:rsidP="009279B2">
      <w:pPr>
        <w:pStyle w:val="ListParagraph"/>
        <w:numPr>
          <w:ilvl w:val="0"/>
          <w:numId w:val="10"/>
        </w:numPr>
        <w:rPr>
          <w:rFonts w:ascii="Arial" w:hAnsi="Arial" w:cs="Arial"/>
        </w:rPr>
      </w:pPr>
      <w:r w:rsidRPr="009279B2">
        <w:rPr>
          <w:rFonts w:ascii="Arial" w:hAnsi="Arial" w:cs="Arial"/>
        </w:rPr>
        <w:t xml:space="preserve">Clarify and add the requirement </w:t>
      </w:r>
      <w:r w:rsidR="006D55E5">
        <w:rPr>
          <w:rFonts w:ascii="Arial" w:hAnsi="Arial" w:cs="Arial"/>
        </w:rPr>
        <w:t xml:space="preserve">in the normative text </w:t>
      </w:r>
      <w:r w:rsidRPr="009279B2">
        <w:rPr>
          <w:rFonts w:ascii="Arial" w:hAnsi="Arial" w:cs="Arial"/>
        </w:rPr>
        <w:t>that operators need to design the single ESS domain for a given TNGF domain.</w:t>
      </w:r>
    </w:p>
    <w:p w14:paraId="0211F40D" w14:textId="3F7EFF5A" w:rsidR="009279B2" w:rsidRPr="009279B2" w:rsidRDefault="009279B2" w:rsidP="009279B2">
      <w:pPr>
        <w:pStyle w:val="ListParagraph"/>
        <w:numPr>
          <w:ilvl w:val="0"/>
          <w:numId w:val="10"/>
        </w:numPr>
        <w:rPr>
          <w:rFonts w:ascii="Arial" w:hAnsi="Arial" w:cs="Arial"/>
        </w:rPr>
      </w:pPr>
      <w:r w:rsidRPr="009279B2">
        <w:rPr>
          <w:rFonts w:ascii="Arial" w:hAnsi="Arial" w:cs="Arial"/>
        </w:rPr>
        <w:t xml:space="preserve">Reuse the existing </w:t>
      </w:r>
      <w:r w:rsidR="00096493">
        <w:t>K</w:t>
      </w:r>
      <w:r w:rsidR="00096493">
        <w:rPr>
          <w:vertAlign w:val="subscript"/>
        </w:rPr>
        <w:t>TNAP</w:t>
      </w:r>
      <w:r w:rsidR="00096493" w:rsidRPr="009279B2" w:rsidDel="00096493">
        <w:rPr>
          <w:rFonts w:ascii="Arial" w:hAnsi="Arial" w:cs="Arial"/>
        </w:rPr>
        <w:t xml:space="preserve"> </w:t>
      </w:r>
      <w:r w:rsidRPr="009279B2">
        <w:rPr>
          <w:rFonts w:ascii="Arial" w:hAnsi="Arial" w:cs="Arial"/>
        </w:rPr>
        <w:t>key for the FT.</w:t>
      </w:r>
    </w:p>
    <w:p w14:paraId="682F3845" w14:textId="6A9901AB" w:rsidR="0050157B" w:rsidRPr="0050157B" w:rsidRDefault="009279B2" w:rsidP="009279B2">
      <w:pPr>
        <w:rPr>
          <w:iCs/>
        </w:rPr>
      </w:pPr>
      <w:r w:rsidRPr="009279B2">
        <w:rPr>
          <w:rFonts w:ascii="Arial" w:hAnsi="Arial" w:cs="Arial"/>
        </w:rPr>
        <w:t xml:space="preserve">Solution details are available in the </w:t>
      </w:r>
      <w:r w:rsidR="00C1495B" w:rsidRPr="00C1495B">
        <w:rPr>
          <w:rFonts w:ascii="Arial" w:hAnsi="Arial" w:cs="Arial"/>
        </w:rPr>
        <w:t>S3-243935</w:t>
      </w:r>
    </w:p>
    <w:sectPr w:rsidR="0050157B" w:rsidRPr="0050157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BD1D3" w14:textId="77777777" w:rsidR="00F52B74" w:rsidRDefault="00F52B74">
      <w:r>
        <w:separator/>
      </w:r>
    </w:p>
  </w:endnote>
  <w:endnote w:type="continuationSeparator" w:id="0">
    <w:p w14:paraId="75D966B3" w14:textId="77777777" w:rsidR="00F52B74" w:rsidRDefault="00F52B74">
      <w:r>
        <w:continuationSeparator/>
      </w:r>
    </w:p>
  </w:endnote>
  <w:endnote w:type="continuationNotice" w:id="1">
    <w:p w14:paraId="02D8D1E1" w14:textId="77777777" w:rsidR="00F52B74" w:rsidRDefault="00F52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E88FE" w14:textId="77777777" w:rsidR="00F52B74" w:rsidRDefault="00F52B74">
      <w:r>
        <w:separator/>
      </w:r>
    </w:p>
  </w:footnote>
  <w:footnote w:type="continuationSeparator" w:id="0">
    <w:p w14:paraId="281D04C3" w14:textId="77777777" w:rsidR="00F52B74" w:rsidRDefault="00F52B74">
      <w:r>
        <w:continuationSeparator/>
      </w:r>
    </w:p>
  </w:footnote>
  <w:footnote w:type="continuationNotice" w:id="1">
    <w:p w14:paraId="1D566437" w14:textId="77777777" w:rsidR="00F52B74" w:rsidRDefault="00F52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16EA3F14"/>
    <w:multiLevelType w:val="hybridMultilevel"/>
    <w:tmpl w:val="5CA2286E"/>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82FCD"/>
    <w:multiLevelType w:val="hybridMultilevel"/>
    <w:tmpl w:val="DCD681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7044897"/>
    <w:multiLevelType w:val="multilevel"/>
    <w:tmpl w:val="380EC3A4"/>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DC0C6A"/>
    <w:multiLevelType w:val="hybridMultilevel"/>
    <w:tmpl w:val="C588A9F4"/>
    <w:lvl w:ilvl="0" w:tplc="908E0F4A">
      <w:start w:val="4"/>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5DBB0AA6"/>
    <w:multiLevelType w:val="hybridMultilevel"/>
    <w:tmpl w:val="FF4A76B2"/>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F03CB5"/>
    <w:multiLevelType w:val="hybridMultilevel"/>
    <w:tmpl w:val="4FCA467C"/>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482844">
    <w:abstractNumId w:val="2"/>
  </w:num>
  <w:num w:numId="2" w16cid:durableId="2110277297">
    <w:abstractNumId w:val="1"/>
  </w:num>
  <w:num w:numId="3" w16cid:durableId="872613076">
    <w:abstractNumId w:val="0"/>
  </w:num>
  <w:num w:numId="4" w16cid:durableId="1111438622">
    <w:abstractNumId w:val="7"/>
  </w:num>
  <w:num w:numId="5" w16cid:durableId="68159914">
    <w:abstractNumId w:val="4"/>
  </w:num>
  <w:num w:numId="6" w16cid:durableId="1306159632">
    <w:abstractNumId w:val="8"/>
  </w:num>
  <w:num w:numId="7" w16cid:durableId="958683266">
    <w:abstractNumId w:val="6"/>
  </w:num>
  <w:num w:numId="8" w16cid:durableId="545993351">
    <w:abstractNumId w:val="3"/>
  </w:num>
  <w:num w:numId="9" w16cid:durableId="67924456">
    <w:abstractNumId w:val="5"/>
  </w:num>
  <w:num w:numId="10" w16cid:durableId="97075016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758D"/>
    <w:rsid w:val="000113C4"/>
    <w:rsid w:val="00011E6C"/>
    <w:rsid w:val="000123AB"/>
    <w:rsid w:val="00012515"/>
    <w:rsid w:val="00016AC5"/>
    <w:rsid w:val="00017389"/>
    <w:rsid w:val="00021A9D"/>
    <w:rsid w:val="0002497E"/>
    <w:rsid w:val="00025526"/>
    <w:rsid w:val="00025BF7"/>
    <w:rsid w:val="00032521"/>
    <w:rsid w:val="0003364E"/>
    <w:rsid w:val="000419D4"/>
    <w:rsid w:val="00046389"/>
    <w:rsid w:val="000572B6"/>
    <w:rsid w:val="00063138"/>
    <w:rsid w:val="00070D9E"/>
    <w:rsid w:val="00074722"/>
    <w:rsid w:val="000758CD"/>
    <w:rsid w:val="00080BD5"/>
    <w:rsid w:val="000819D8"/>
    <w:rsid w:val="0008310C"/>
    <w:rsid w:val="00084ED9"/>
    <w:rsid w:val="00086145"/>
    <w:rsid w:val="00090F8A"/>
    <w:rsid w:val="000934A6"/>
    <w:rsid w:val="00093956"/>
    <w:rsid w:val="0009432B"/>
    <w:rsid w:val="0009446D"/>
    <w:rsid w:val="00096493"/>
    <w:rsid w:val="000A1844"/>
    <w:rsid w:val="000A2C6C"/>
    <w:rsid w:val="000A4660"/>
    <w:rsid w:val="000A6269"/>
    <w:rsid w:val="000A6E50"/>
    <w:rsid w:val="000A797D"/>
    <w:rsid w:val="000C1CD5"/>
    <w:rsid w:val="000C4371"/>
    <w:rsid w:val="000C7F83"/>
    <w:rsid w:val="000D128D"/>
    <w:rsid w:val="000D1B5B"/>
    <w:rsid w:val="000D2E20"/>
    <w:rsid w:val="000D4140"/>
    <w:rsid w:val="000D6B0F"/>
    <w:rsid w:val="000E1066"/>
    <w:rsid w:val="000E1FCD"/>
    <w:rsid w:val="000E4224"/>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434E"/>
    <w:rsid w:val="001447B0"/>
    <w:rsid w:val="00145437"/>
    <w:rsid w:val="00145DF9"/>
    <w:rsid w:val="001571F4"/>
    <w:rsid w:val="00160A14"/>
    <w:rsid w:val="00161E5D"/>
    <w:rsid w:val="00167D68"/>
    <w:rsid w:val="00173FA3"/>
    <w:rsid w:val="00177105"/>
    <w:rsid w:val="00184B6F"/>
    <w:rsid w:val="001861E5"/>
    <w:rsid w:val="0019570E"/>
    <w:rsid w:val="001A1C4B"/>
    <w:rsid w:val="001A3AE3"/>
    <w:rsid w:val="001A491C"/>
    <w:rsid w:val="001B1652"/>
    <w:rsid w:val="001B2386"/>
    <w:rsid w:val="001C3EC8"/>
    <w:rsid w:val="001C4D89"/>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DC9"/>
    <w:rsid w:val="002062C0"/>
    <w:rsid w:val="00210817"/>
    <w:rsid w:val="002112D2"/>
    <w:rsid w:val="0021221B"/>
    <w:rsid w:val="00215130"/>
    <w:rsid w:val="00215518"/>
    <w:rsid w:val="002202A5"/>
    <w:rsid w:val="00230002"/>
    <w:rsid w:val="0023514C"/>
    <w:rsid w:val="00243645"/>
    <w:rsid w:val="00244C9A"/>
    <w:rsid w:val="0024621A"/>
    <w:rsid w:val="00246341"/>
    <w:rsid w:val="00247216"/>
    <w:rsid w:val="00251254"/>
    <w:rsid w:val="002535F1"/>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612D"/>
    <w:rsid w:val="00404498"/>
    <w:rsid w:val="00412810"/>
    <w:rsid w:val="0041512C"/>
    <w:rsid w:val="00421A26"/>
    <w:rsid w:val="00424D11"/>
    <w:rsid w:val="00427228"/>
    <w:rsid w:val="00430A34"/>
    <w:rsid w:val="00430E7C"/>
    <w:rsid w:val="00432A25"/>
    <w:rsid w:val="00440414"/>
    <w:rsid w:val="00443F9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6AB2"/>
    <w:rsid w:val="0062549F"/>
    <w:rsid w:val="00626B5D"/>
    <w:rsid w:val="00640739"/>
    <w:rsid w:val="00647B64"/>
    <w:rsid w:val="00652248"/>
    <w:rsid w:val="006524B8"/>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7C42"/>
    <w:rsid w:val="0071254E"/>
    <w:rsid w:val="00715A1D"/>
    <w:rsid w:val="007328B8"/>
    <w:rsid w:val="007355B0"/>
    <w:rsid w:val="007428F0"/>
    <w:rsid w:val="00754F7C"/>
    <w:rsid w:val="00756D30"/>
    <w:rsid w:val="00760BB0"/>
    <w:rsid w:val="0076157A"/>
    <w:rsid w:val="007616E6"/>
    <w:rsid w:val="00764853"/>
    <w:rsid w:val="0077165F"/>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F05BA"/>
    <w:rsid w:val="007F300B"/>
    <w:rsid w:val="007F46F8"/>
    <w:rsid w:val="007F5722"/>
    <w:rsid w:val="008004B8"/>
    <w:rsid w:val="008014C3"/>
    <w:rsid w:val="00806486"/>
    <w:rsid w:val="00810E8E"/>
    <w:rsid w:val="00811229"/>
    <w:rsid w:val="008175DC"/>
    <w:rsid w:val="008204C7"/>
    <w:rsid w:val="00822909"/>
    <w:rsid w:val="0083194E"/>
    <w:rsid w:val="008426C5"/>
    <w:rsid w:val="00844895"/>
    <w:rsid w:val="00850812"/>
    <w:rsid w:val="00852483"/>
    <w:rsid w:val="0085332E"/>
    <w:rsid w:val="00853B1F"/>
    <w:rsid w:val="00854EE2"/>
    <w:rsid w:val="0086178C"/>
    <w:rsid w:val="00867DBE"/>
    <w:rsid w:val="00872E07"/>
    <w:rsid w:val="00874A78"/>
    <w:rsid w:val="00874B12"/>
    <w:rsid w:val="00876179"/>
    <w:rsid w:val="00876B9A"/>
    <w:rsid w:val="00876F44"/>
    <w:rsid w:val="0087749A"/>
    <w:rsid w:val="008841F2"/>
    <w:rsid w:val="0088776C"/>
    <w:rsid w:val="008933BF"/>
    <w:rsid w:val="008A10C4"/>
    <w:rsid w:val="008A1857"/>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66BA2"/>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506C"/>
    <w:rsid w:val="00B27E39"/>
    <w:rsid w:val="00B33EE0"/>
    <w:rsid w:val="00B350D8"/>
    <w:rsid w:val="00B35E30"/>
    <w:rsid w:val="00B363B4"/>
    <w:rsid w:val="00B5545D"/>
    <w:rsid w:val="00B67757"/>
    <w:rsid w:val="00B76763"/>
    <w:rsid w:val="00B7732B"/>
    <w:rsid w:val="00B879F0"/>
    <w:rsid w:val="00B964DF"/>
    <w:rsid w:val="00BA0741"/>
    <w:rsid w:val="00BA445F"/>
    <w:rsid w:val="00BA5B81"/>
    <w:rsid w:val="00BB2EE4"/>
    <w:rsid w:val="00BC0C6B"/>
    <w:rsid w:val="00BC25AA"/>
    <w:rsid w:val="00BC2CE8"/>
    <w:rsid w:val="00BC33A8"/>
    <w:rsid w:val="00BC7246"/>
    <w:rsid w:val="00BC73C2"/>
    <w:rsid w:val="00BD6321"/>
    <w:rsid w:val="00BD73BA"/>
    <w:rsid w:val="00BE3B9A"/>
    <w:rsid w:val="00BF0D80"/>
    <w:rsid w:val="00BF2C84"/>
    <w:rsid w:val="00C022E3"/>
    <w:rsid w:val="00C048A9"/>
    <w:rsid w:val="00C05C68"/>
    <w:rsid w:val="00C06210"/>
    <w:rsid w:val="00C12D2B"/>
    <w:rsid w:val="00C1495B"/>
    <w:rsid w:val="00C16A57"/>
    <w:rsid w:val="00C17C88"/>
    <w:rsid w:val="00C17DCC"/>
    <w:rsid w:val="00C25EA3"/>
    <w:rsid w:val="00C306F2"/>
    <w:rsid w:val="00C4394B"/>
    <w:rsid w:val="00C468E3"/>
    <w:rsid w:val="00C4712D"/>
    <w:rsid w:val="00C51E6D"/>
    <w:rsid w:val="00C555C9"/>
    <w:rsid w:val="00C6035E"/>
    <w:rsid w:val="00C61998"/>
    <w:rsid w:val="00C62448"/>
    <w:rsid w:val="00C70122"/>
    <w:rsid w:val="00C82277"/>
    <w:rsid w:val="00C840B7"/>
    <w:rsid w:val="00C87552"/>
    <w:rsid w:val="00C9084A"/>
    <w:rsid w:val="00C94489"/>
    <w:rsid w:val="00C94F55"/>
    <w:rsid w:val="00C9683B"/>
    <w:rsid w:val="00CA3089"/>
    <w:rsid w:val="00CA7D62"/>
    <w:rsid w:val="00CB07A8"/>
    <w:rsid w:val="00CB2FDF"/>
    <w:rsid w:val="00CB5119"/>
    <w:rsid w:val="00CB6FAC"/>
    <w:rsid w:val="00CC3977"/>
    <w:rsid w:val="00CC70DA"/>
    <w:rsid w:val="00CD4A57"/>
    <w:rsid w:val="00CE1C5B"/>
    <w:rsid w:val="00CF12AB"/>
    <w:rsid w:val="00CF3393"/>
    <w:rsid w:val="00CF66B7"/>
    <w:rsid w:val="00D0392B"/>
    <w:rsid w:val="00D06626"/>
    <w:rsid w:val="00D11F62"/>
    <w:rsid w:val="00D15533"/>
    <w:rsid w:val="00D21C9F"/>
    <w:rsid w:val="00D26413"/>
    <w:rsid w:val="00D33604"/>
    <w:rsid w:val="00D33F33"/>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957A5"/>
    <w:rsid w:val="00DA1E58"/>
    <w:rsid w:val="00DA29BE"/>
    <w:rsid w:val="00DA31BD"/>
    <w:rsid w:val="00DA5E30"/>
    <w:rsid w:val="00DA7002"/>
    <w:rsid w:val="00DB18C5"/>
    <w:rsid w:val="00DB21DB"/>
    <w:rsid w:val="00DC55EC"/>
    <w:rsid w:val="00DD11C0"/>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033D"/>
    <w:rsid w:val="00E610CF"/>
    <w:rsid w:val="00E70454"/>
    <w:rsid w:val="00E7047E"/>
    <w:rsid w:val="00E84AAC"/>
    <w:rsid w:val="00E91FE1"/>
    <w:rsid w:val="00E94349"/>
    <w:rsid w:val="00E96F3B"/>
    <w:rsid w:val="00EA0E5E"/>
    <w:rsid w:val="00EA1B9C"/>
    <w:rsid w:val="00EA27E3"/>
    <w:rsid w:val="00EA5E95"/>
    <w:rsid w:val="00EA7C05"/>
    <w:rsid w:val="00EB2373"/>
    <w:rsid w:val="00EB454A"/>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2013"/>
    <w:rsid w:val="00F236A2"/>
    <w:rsid w:val="00F25FC7"/>
    <w:rsid w:val="00F262ED"/>
    <w:rsid w:val="00F27913"/>
    <w:rsid w:val="00F3384C"/>
    <w:rsid w:val="00F37F00"/>
    <w:rsid w:val="00F4400D"/>
    <w:rsid w:val="00F4437F"/>
    <w:rsid w:val="00F44F50"/>
    <w:rsid w:val="00F52B74"/>
    <w:rsid w:val="00F6073C"/>
    <w:rsid w:val="00F61F07"/>
    <w:rsid w:val="00F62D19"/>
    <w:rsid w:val="00F6426B"/>
    <w:rsid w:val="00F64391"/>
    <w:rsid w:val="00F6648D"/>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paragraph" w:styleId="Revision">
    <w:name w:val="Revision"/>
    <w:hidden/>
    <w:uiPriority w:val="99"/>
    <w:semiHidden/>
    <w:rsid w:val="009D5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07920522">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993071239">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461767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0510376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4389044">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54021708">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4453909">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14T13:59:50.053"/>
    </inkml:context>
    <inkml:brush xml:id="br0">
      <inkml:brushProperty name="width" value="0.05" units="cm"/>
      <inkml:brushProperty name="height" value="0.05" units="cm"/>
      <inkml:brushProperty name="color" value="#E71224"/>
    </inkml:brush>
  </inkml:definitions>
  <inkml:trace contextRef="#ctx0" brushRef="#br0">100 1404 24575,'0'0'0,"1"-1"0,-1 0 0,1 1 0,0-1 0,-1 0 0,1 1 0,-1-1 0,1 1 0,0-1 0,0 1 0,-1 0 0,1-1 0,0 1 0,0-1 0,-1 1 0,1 0 0,0 0 0,0 0 0,0-1 0,0 1 0,-1 0 0,1 0 0,0 0 0,0 0 0,0 0 0,0 1 0,-1-1 0,2 0 0,-1 1 0,0 0 0,0 0 0,0 0 0,0 0 0,0 0 0,0 0 0,0 0 0,0 0 0,-1 1 0,1-1 0,0 0 0,-1 1 0,1-1 0,-1 0 0,1 2 0,6 51 0,-7-31 0,0-1 0,-2 0 0,-1 0 0,0 0 0,-2 0 0,0 0 0,-2-1 0,0 0 0,-2 0 0,0-1 0,-1 0 0,-1 0 0,0-1 0,-23 26 0,32-42 0,-1 0 0,1 0 0,-1 0 0,1 1 0,0-1 0,0 0 0,1 1 0,-1-1 0,1 1 0,0 0 0,0 0 0,0-1 0,0 1 0,1 0 0,-1 7 0,1-9 0,1 0 0,0 0 0,-1 0 0,1 0 0,0 0 0,0 0 0,0-1 0,0 1 0,0 0 0,1-1 0,-1 1 0,0 0 0,1-1 0,-1 0 0,1 1 0,0-1 0,-1 0 0,1 0 0,0 0 0,0 0 0,0 0 0,0 0 0,0 0 0,0-1 0,0 1 0,0-1 0,0 1 0,0-1 0,0 0 0,2 0 0,75 10-682,121 0-1,-174-10-6143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5AIRPNAIUNRU-931754773-5003</_dlc_DocId>
    <_dlc_DocIdUrl xmlns="71c5aaf6-e6ce-465b-b873-5148d2a4c105">
      <Url>https://nokia.sharepoint.com/sites/c5g/security/_layouts/15/DocIdRedir.aspx?ID=5AIRPNAIUNRU-931754773-5003</Url>
      <Description>5AIRPNAIUNRU-931754773-5003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6A0EF9-9803-4BC5-83FC-4EAAA3F2F4EE}">
  <ds:schemaRefs>
    <ds:schemaRef ds:uri="http://purl.org/dc/elements/1.1/"/>
    <ds:schemaRef ds:uri="http://schemas.microsoft.com/office/2006/metadata/properties"/>
    <ds:schemaRef ds:uri="b48738c0-5c12-4b5a-b05a-8a6603520253"/>
    <ds:schemaRef ds:uri="71c5aaf6-e6ce-465b-b873-5148d2a4c105"/>
    <ds:schemaRef ds:uri="http://schemas.openxmlformats.org/package/2006/metadata/core-properties"/>
    <ds:schemaRef ds:uri="http://purl.org/dc/terms/"/>
    <ds:schemaRef ds:uri="http://schemas.microsoft.com/office/infopath/2007/PartnerControls"/>
    <ds:schemaRef ds:uri="4776aa60-670e-4784-be98-c39ff3403b35"/>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EE19E89-276C-4535-9225-3874ED4B7000}">
  <ds:schemaRefs>
    <ds:schemaRef ds:uri="http://schemas.microsoft.com/sharepoint/v3/contenttype/forms"/>
  </ds:schemaRefs>
</ds:datastoreItem>
</file>

<file path=customXml/itemProps3.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4.xml><?xml version="1.0" encoding="utf-8"?>
<ds:datastoreItem xmlns:ds="http://schemas.openxmlformats.org/officeDocument/2006/customXml" ds:itemID="{E6B4F2A4-F982-48A4-AE58-4B45433D1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6.xml><?xml version="1.0" encoding="utf-8"?>
<ds:datastoreItem xmlns:ds="http://schemas.openxmlformats.org/officeDocument/2006/customXml" ds:itemID="{0CF7B876-E052-4731-83F2-FE5617E6E0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1701</TotalTime>
  <Pages>4</Pages>
  <Words>845</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 Khare (Nokia)</cp:lastModifiedBy>
  <cp:revision>197</cp:revision>
  <cp:lastPrinted>1899-12-31T23:00:00Z</cp:lastPrinted>
  <dcterms:created xsi:type="dcterms:W3CDTF">2024-07-30T05:17:00Z</dcterms:created>
  <dcterms:modified xsi:type="dcterms:W3CDTF">2024-10-07T10:37:00Z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0598049d-7415-496e-bcf8-9467665f2c13</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